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D61F11" w14:textId="77777777" w:rsidR="006169BC" w:rsidRPr="001F4AAE" w:rsidRDefault="006169BC" w:rsidP="006169BC">
      <w:pPr>
        <w:pStyle w:val="Heading1"/>
        <w:rPr>
          <w:rFonts w:asciiTheme="minorHAnsi" w:hAnsiTheme="minorHAnsi"/>
        </w:rPr>
      </w:pPr>
      <w:r w:rsidRPr="001F4AAE">
        <w:rPr>
          <w:rFonts w:asciiTheme="minorHAnsi" w:hAnsiTheme="minorHAnsi"/>
        </w:rPr>
        <w:t xml:space="preserve">Pupil </w:t>
      </w:r>
      <w:r w:rsidR="00EC1F27">
        <w:rPr>
          <w:rFonts w:asciiTheme="minorHAnsi" w:hAnsiTheme="minorHAnsi"/>
        </w:rPr>
        <w:t>P</w:t>
      </w:r>
      <w:r w:rsidRPr="001F4AAE">
        <w:rPr>
          <w:rFonts w:asciiTheme="minorHAnsi" w:hAnsiTheme="minorHAnsi"/>
        </w:rPr>
        <w:t xml:space="preserve">remium </w:t>
      </w:r>
      <w:r w:rsidR="00EC1F27">
        <w:rPr>
          <w:rFonts w:asciiTheme="minorHAnsi" w:hAnsiTheme="minorHAnsi"/>
        </w:rPr>
        <w:t>S</w:t>
      </w:r>
      <w:r w:rsidRPr="001F4AAE">
        <w:rPr>
          <w:rFonts w:asciiTheme="minorHAnsi" w:hAnsiTheme="minorHAnsi"/>
        </w:rPr>
        <w:t xml:space="preserve">trategy </w:t>
      </w:r>
      <w:r w:rsidR="00EC1F27">
        <w:rPr>
          <w:rFonts w:asciiTheme="minorHAnsi" w:hAnsiTheme="minorHAnsi"/>
        </w:rPr>
        <w:t>S</w:t>
      </w:r>
      <w:r w:rsidRPr="001F4AAE">
        <w:rPr>
          <w:rFonts w:asciiTheme="minorHAnsi" w:hAnsiTheme="minorHAnsi"/>
        </w:rPr>
        <w:t>tatement</w:t>
      </w:r>
      <w:bookmarkStart w:id="0" w:name="_Toc338167830"/>
      <w:bookmarkStart w:id="1" w:name="_Toc361136403"/>
      <w:bookmarkStart w:id="2" w:name="_Toc364235708"/>
      <w:bookmarkStart w:id="3" w:name="_Toc364235752"/>
      <w:bookmarkStart w:id="4" w:name="_Toc364235834"/>
      <w:bookmarkStart w:id="5" w:name="_Toc364840099"/>
      <w:bookmarkStart w:id="6" w:name="_Toc364864309"/>
      <w:bookmarkStart w:id="7" w:name="_Toc400361364"/>
      <w:bookmarkStart w:id="8" w:name="_Toc443397154"/>
    </w:p>
    <w:p w14:paraId="44728A5F" w14:textId="5A05483F" w:rsidR="006169BC" w:rsidRPr="001F4AAE" w:rsidRDefault="006169BC" w:rsidP="006169BC">
      <w:pPr>
        <w:pStyle w:val="Heading2"/>
        <w:rPr>
          <w:rFonts w:asciiTheme="minorHAnsi" w:hAnsiTheme="minorHAnsi"/>
          <w:b/>
          <w:bCs/>
          <w:color w:val="auto"/>
          <w:sz w:val="20"/>
          <w:szCs w:val="20"/>
        </w:rPr>
      </w:pPr>
      <w:r w:rsidRPr="001F4AAE">
        <w:rPr>
          <w:rFonts w:asciiTheme="minorHAnsi" w:hAnsiTheme="minorHAnsi"/>
          <w:bCs/>
          <w:color w:val="auto"/>
          <w:sz w:val="20"/>
          <w:szCs w:val="20"/>
        </w:rPr>
        <w:t xml:space="preserve">This statement details our school’s use of pupil premium (and recovery premium) funding to help improve the attainment of our disadvantaged pupils. </w:t>
      </w:r>
    </w:p>
    <w:p w14:paraId="79332504" w14:textId="77777777" w:rsidR="006169BC" w:rsidRPr="001F4AAE" w:rsidRDefault="006169BC" w:rsidP="006169BC">
      <w:pPr>
        <w:pStyle w:val="Heading2"/>
        <w:spacing w:before="240"/>
        <w:rPr>
          <w:rFonts w:asciiTheme="minorHAnsi" w:hAnsiTheme="minorHAnsi"/>
          <w:b/>
          <w:bCs/>
          <w:color w:val="auto"/>
          <w:sz w:val="20"/>
          <w:szCs w:val="20"/>
        </w:rPr>
      </w:pPr>
      <w:r w:rsidRPr="001F4AAE">
        <w:rPr>
          <w:rFonts w:asciiTheme="minorHAnsi" w:hAnsiTheme="minorHAnsi"/>
          <w:bCs/>
          <w:color w:val="auto"/>
          <w:sz w:val="20"/>
          <w:szCs w:val="20"/>
        </w:rPr>
        <w:t xml:space="preserve">It outlines our pupil premium strategy, how we intend to spend the funding in this academic year and the effect that last year’s spending of pupil premium had within our school. </w:t>
      </w:r>
    </w:p>
    <w:p w14:paraId="3A2007BC" w14:textId="77777777" w:rsidR="006169BC" w:rsidRPr="001F4AAE" w:rsidRDefault="006169BC" w:rsidP="006169BC">
      <w:pPr>
        <w:pStyle w:val="Heading2"/>
        <w:spacing w:after="240"/>
        <w:rPr>
          <w:rFonts w:asciiTheme="minorHAnsi" w:hAnsiTheme="minorHAnsi"/>
        </w:rPr>
      </w:pPr>
      <w:r w:rsidRPr="001F4AAE">
        <w:rPr>
          <w:rFonts w:asciiTheme="minorHAnsi" w:hAnsiTheme="minorHAnsi"/>
        </w:rPr>
        <w:t>School overview</w:t>
      </w:r>
      <w:bookmarkEnd w:id="0"/>
      <w:bookmarkEnd w:id="1"/>
      <w:bookmarkEnd w:id="2"/>
      <w:bookmarkEnd w:id="3"/>
      <w:bookmarkEnd w:id="4"/>
      <w:bookmarkEnd w:id="5"/>
      <w:bookmarkEnd w:id="6"/>
      <w:bookmarkEnd w:id="7"/>
      <w:bookmarkEnd w:id="8"/>
    </w:p>
    <w:tbl>
      <w:tblPr>
        <w:tblW w:w="5000" w:type="pct"/>
        <w:tblCellMar>
          <w:left w:w="10" w:type="dxa"/>
          <w:right w:w="10" w:type="dxa"/>
        </w:tblCellMar>
        <w:tblLook w:val="04A0" w:firstRow="1" w:lastRow="0" w:firstColumn="1" w:lastColumn="0" w:noHBand="0" w:noVBand="1"/>
      </w:tblPr>
      <w:tblGrid>
        <w:gridCol w:w="7182"/>
        <w:gridCol w:w="3274"/>
      </w:tblGrid>
      <w:tr w:rsidR="006169BC" w:rsidRPr="001F4AAE" w14:paraId="28F87920" w14:textId="77777777" w:rsidTr="0087531D">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79D585BE" w14:textId="77777777" w:rsidR="006169BC" w:rsidRPr="001F4AAE" w:rsidRDefault="006169BC" w:rsidP="0087531D">
            <w:pPr>
              <w:pStyle w:val="TableHeader"/>
              <w:jc w:val="left"/>
              <w:rPr>
                <w:rFonts w:asciiTheme="minorHAnsi" w:hAnsiTheme="minorHAnsi"/>
                <w:sz w:val="20"/>
              </w:rPr>
            </w:pPr>
            <w:r w:rsidRPr="001F4AAE">
              <w:rPr>
                <w:rFonts w:asciiTheme="minorHAnsi" w:hAnsiTheme="minorHAnsi"/>
                <w:sz w:val="20"/>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0F78D10C" w14:textId="77777777" w:rsidR="006169BC" w:rsidRPr="001F4AAE" w:rsidRDefault="006169BC" w:rsidP="0087531D">
            <w:pPr>
              <w:pStyle w:val="TableHeader"/>
              <w:jc w:val="left"/>
              <w:rPr>
                <w:rFonts w:asciiTheme="minorHAnsi" w:hAnsiTheme="minorHAnsi"/>
                <w:sz w:val="20"/>
              </w:rPr>
            </w:pPr>
            <w:r w:rsidRPr="001F4AAE">
              <w:rPr>
                <w:rFonts w:asciiTheme="minorHAnsi" w:hAnsiTheme="minorHAnsi"/>
                <w:sz w:val="20"/>
              </w:rPr>
              <w:t>Data</w:t>
            </w:r>
          </w:p>
        </w:tc>
      </w:tr>
      <w:tr w:rsidR="006169BC" w:rsidRPr="001F4AAE" w14:paraId="1153ED09" w14:textId="77777777" w:rsidTr="0087531D">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B8A34" w14:textId="77777777" w:rsidR="006169BC" w:rsidRPr="001F4AAE" w:rsidRDefault="006169BC" w:rsidP="0087531D">
            <w:pPr>
              <w:pStyle w:val="TableRow"/>
              <w:rPr>
                <w:rFonts w:asciiTheme="minorHAnsi" w:hAnsiTheme="minorHAnsi"/>
                <w:color w:val="auto"/>
                <w:sz w:val="20"/>
              </w:rPr>
            </w:pPr>
            <w:r w:rsidRPr="001F4AAE">
              <w:rPr>
                <w:rFonts w:asciiTheme="minorHAnsi" w:hAnsiTheme="minorHAnsi"/>
                <w:color w:val="auto"/>
                <w:sz w:val="20"/>
              </w:rPr>
              <w:t>School name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1D4F7" w14:textId="77777777" w:rsidR="006169BC" w:rsidRPr="001F4AAE" w:rsidRDefault="006169BC" w:rsidP="0087531D">
            <w:pPr>
              <w:pStyle w:val="TableRow"/>
              <w:rPr>
                <w:rFonts w:asciiTheme="minorHAnsi" w:hAnsiTheme="minorHAnsi"/>
                <w:color w:val="auto"/>
                <w:sz w:val="20"/>
              </w:rPr>
            </w:pPr>
            <w:r w:rsidRPr="001F4AAE">
              <w:rPr>
                <w:rFonts w:asciiTheme="minorHAnsi" w:hAnsiTheme="minorHAnsi"/>
                <w:color w:val="auto"/>
                <w:sz w:val="20"/>
              </w:rPr>
              <w:t>RAF Leeming CP</w:t>
            </w:r>
          </w:p>
        </w:tc>
      </w:tr>
      <w:tr w:rsidR="006169BC" w:rsidRPr="001F4AAE" w14:paraId="70FCA279" w14:textId="77777777" w:rsidTr="0087531D">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93BEC" w14:textId="77777777" w:rsidR="006169BC" w:rsidRPr="001F4AAE" w:rsidRDefault="006169BC" w:rsidP="0087531D">
            <w:pPr>
              <w:pStyle w:val="TableRow"/>
              <w:rPr>
                <w:rFonts w:asciiTheme="minorHAnsi" w:hAnsiTheme="minorHAnsi"/>
                <w:color w:val="auto"/>
                <w:sz w:val="20"/>
              </w:rPr>
            </w:pPr>
            <w:r w:rsidRPr="001F4AAE">
              <w:rPr>
                <w:rFonts w:asciiTheme="minorHAnsi" w:hAnsiTheme="minorHAnsi"/>
                <w:color w:val="auto"/>
                <w:sz w:val="20"/>
              </w:rPr>
              <w:t xml:space="preserve">Number of pupils in school </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CBBC7" w14:textId="41067C7A" w:rsidR="006169BC" w:rsidRPr="001F4AAE" w:rsidRDefault="007A2B4F" w:rsidP="0087531D">
            <w:pPr>
              <w:pStyle w:val="TableRow"/>
              <w:rPr>
                <w:rFonts w:asciiTheme="minorHAnsi" w:hAnsiTheme="minorHAnsi"/>
                <w:color w:val="auto"/>
                <w:sz w:val="20"/>
              </w:rPr>
            </w:pPr>
            <w:r>
              <w:rPr>
                <w:rFonts w:asciiTheme="minorHAnsi" w:hAnsiTheme="minorHAnsi"/>
                <w:color w:val="auto"/>
                <w:sz w:val="20"/>
              </w:rPr>
              <w:t>161</w:t>
            </w:r>
          </w:p>
        </w:tc>
      </w:tr>
      <w:tr w:rsidR="006169BC" w:rsidRPr="001F4AAE" w14:paraId="0AD4D0E6" w14:textId="77777777" w:rsidTr="0087531D">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1EC6D" w14:textId="77777777" w:rsidR="006169BC" w:rsidRPr="001F4AAE" w:rsidRDefault="006169BC" w:rsidP="0087531D">
            <w:pPr>
              <w:pStyle w:val="TableRow"/>
              <w:rPr>
                <w:rFonts w:asciiTheme="minorHAnsi" w:hAnsiTheme="minorHAnsi"/>
                <w:color w:val="auto"/>
                <w:sz w:val="20"/>
              </w:rPr>
            </w:pPr>
            <w:r w:rsidRPr="001F4AAE">
              <w:rPr>
                <w:rFonts w:asciiTheme="minorHAnsi" w:hAnsiTheme="minorHAnsi"/>
                <w:color w:val="auto"/>
                <w:sz w:val="20"/>
              </w:rPr>
              <w:t>Proportion (%) of pupil premium eligible pupils</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DDCD" w14:textId="77A8DA4A" w:rsidR="006169BC" w:rsidRPr="001F4AAE" w:rsidRDefault="00E6529F" w:rsidP="0087531D">
            <w:pPr>
              <w:pStyle w:val="TableRow"/>
              <w:rPr>
                <w:rFonts w:asciiTheme="minorHAnsi" w:hAnsiTheme="minorHAnsi"/>
                <w:color w:val="auto"/>
                <w:sz w:val="20"/>
              </w:rPr>
            </w:pPr>
            <w:r>
              <w:rPr>
                <w:rFonts w:asciiTheme="minorHAnsi" w:hAnsiTheme="minorHAnsi"/>
                <w:color w:val="auto"/>
                <w:sz w:val="20"/>
              </w:rPr>
              <w:t>8</w:t>
            </w:r>
            <w:r w:rsidR="006169BC" w:rsidRPr="001F4AAE">
              <w:rPr>
                <w:rFonts w:asciiTheme="minorHAnsi" w:hAnsiTheme="minorHAnsi"/>
                <w:color w:val="auto"/>
                <w:sz w:val="20"/>
              </w:rPr>
              <w:t>%</w:t>
            </w:r>
          </w:p>
        </w:tc>
      </w:tr>
      <w:tr w:rsidR="006169BC" w:rsidRPr="001F4AAE" w14:paraId="15039AB9" w14:textId="77777777" w:rsidTr="0087531D">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5ECFB6" w14:textId="77777777" w:rsidR="006169BC" w:rsidRPr="001F4AAE" w:rsidRDefault="006169BC" w:rsidP="0087531D">
            <w:pPr>
              <w:pStyle w:val="TableRow"/>
              <w:rPr>
                <w:rFonts w:asciiTheme="minorHAnsi" w:hAnsiTheme="minorHAnsi"/>
                <w:color w:val="auto"/>
                <w:sz w:val="20"/>
                <w:szCs w:val="22"/>
              </w:rPr>
            </w:pPr>
            <w:r w:rsidRPr="001F4AAE">
              <w:rPr>
                <w:rFonts w:asciiTheme="minorHAnsi" w:hAnsiTheme="minorHAnsi"/>
                <w:color w:val="auto"/>
                <w:sz w:val="20"/>
                <w:szCs w:val="22"/>
              </w:rPr>
              <w:t xml:space="preserve">Academic year/years that our current pupil premium strategy plan covers </w:t>
            </w:r>
            <w:r w:rsidRPr="001F4AAE">
              <w:rPr>
                <w:rFonts w:asciiTheme="minorHAnsi" w:hAnsiTheme="minorHAnsi"/>
                <w:b/>
                <w:bCs/>
                <w:color w:val="auto"/>
                <w:sz w:val="20"/>
                <w:szCs w:val="22"/>
              </w:rPr>
              <w:t>(3 year plans are recommended)</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34FE2" w14:textId="48684692" w:rsidR="006169BC" w:rsidRPr="001F4AAE" w:rsidRDefault="006169BC" w:rsidP="0087531D">
            <w:pPr>
              <w:pStyle w:val="TableRow"/>
              <w:rPr>
                <w:rFonts w:asciiTheme="minorHAnsi" w:hAnsiTheme="minorHAnsi"/>
                <w:color w:val="auto"/>
                <w:sz w:val="20"/>
              </w:rPr>
            </w:pPr>
            <w:r w:rsidRPr="001F4AAE">
              <w:rPr>
                <w:rFonts w:asciiTheme="minorHAnsi" w:hAnsiTheme="minorHAnsi"/>
                <w:color w:val="auto"/>
                <w:sz w:val="20"/>
              </w:rPr>
              <w:t>202</w:t>
            </w:r>
            <w:r w:rsidR="00143DEF">
              <w:rPr>
                <w:rFonts w:asciiTheme="minorHAnsi" w:hAnsiTheme="minorHAnsi"/>
                <w:color w:val="auto"/>
                <w:sz w:val="20"/>
              </w:rPr>
              <w:t>3</w:t>
            </w:r>
            <w:r w:rsidR="007A2B4F">
              <w:rPr>
                <w:rFonts w:asciiTheme="minorHAnsi" w:hAnsiTheme="minorHAnsi"/>
                <w:color w:val="auto"/>
                <w:sz w:val="20"/>
              </w:rPr>
              <w:t>/24</w:t>
            </w:r>
            <w:r w:rsidRPr="001F4AAE">
              <w:rPr>
                <w:rFonts w:asciiTheme="minorHAnsi" w:hAnsiTheme="minorHAnsi"/>
                <w:color w:val="auto"/>
                <w:sz w:val="20"/>
              </w:rPr>
              <w:t xml:space="preserve"> to </w:t>
            </w:r>
          </w:p>
          <w:p w14:paraId="102C77FB" w14:textId="6F49312C" w:rsidR="006169BC" w:rsidRPr="001F4AAE" w:rsidRDefault="006169BC" w:rsidP="0087531D">
            <w:pPr>
              <w:pStyle w:val="TableRow"/>
              <w:rPr>
                <w:rFonts w:asciiTheme="minorHAnsi" w:hAnsiTheme="minorHAnsi"/>
                <w:color w:val="auto"/>
                <w:sz w:val="20"/>
              </w:rPr>
            </w:pPr>
            <w:r w:rsidRPr="001F4AAE">
              <w:rPr>
                <w:rFonts w:asciiTheme="minorHAnsi" w:hAnsiTheme="minorHAnsi"/>
                <w:color w:val="auto"/>
                <w:sz w:val="20"/>
              </w:rPr>
              <w:t>202</w:t>
            </w:r>
            <w:r w:rsidR="007A2B4F">
              <w:rPr>
                <w:rFonts w:asciiTheme="minorHAnsi" w:hAnsiTheme="minorHAnsi"/>
                <w:color w:val="auto"/>
                <w:sz w:val="20"/>
              </w:rPr>
              <w:t>5</w:t>
            </w:r>
            <w:r w:rsidRPr="001F4AAE">
              <w:rPr>
                <w:rFonts w:asciiTheme="minorHAnsi" w:hAnsiTheme="minorHAnsi"/>
                <w:color w:val="auto"/>
                <w:sz w:val="20"/>
              </w:rPr>
              <w:t>/202</w:t>
            </w:r>
            <w:r w:rsidR="007A2B4F">
              <w:rPr>
                <w:rFonts w:asciiTheme="minorHAnsi" w:hAnsiTheme="minorHAnsi"/>
                <w:color w:val="auto"/>
                <w:sz w:val="20"/>
              </w:rPr>
              <w:t>6</w:t>
            </w:r>
          </w:p>
        </w:tc>
      </w:tr>
      <w:tr w:rsidR="006169BC" w:rsidRPr="001F4AAE" w14:paraId="2390F6A9" w14:textId="77777777" w:rsidTr="0087531D">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36A12" w14:textId="1B8DE7B8" w:rsidR="006169BC" w:rsidRPr="001F4AAE" w:rsidRDefault="006169BC" w:rsidP="0087531D">
            <w:pPr>
              <w:pStyle w:val="TableRow"/>
              <w:rPr>
                <w:rFonts w:asciiTheme="minorHAnsi" w:hAnsiTheme="minorHAnsi"/>
                <w:color w:val="auto"/>
                <w:sz w:val="20"/>
              </w:rPr>
            </w:pPr>
            <w:r w:rsidRPr="001F4AAE">
              <w:rPr>
                <w:rFonts w:asciiTheme="minorHAnsi" w:hAnsiTheme="minorHAnsi"/>
                <w:color w:val="auto"/>
                <w:sz w:val="20"/>
                <w:szCs w:val="22"/>
              </w:rPr>
              <w:t>Date this statement was published</w:t>
            </w:r>
            <w:r w:rsidR="00143DEF">
              <w:rPr>
                <w:rFonts w:asciiTheme="minorHAnsi" w:hAnsiTheme="minorHAnsi"/>
                <w:color w:val="auto"/>
                <w:sz w:val="20"/>
                <w:szCs w:val="22"/>
              </w:rPr>
              <w:t>/updated</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191D98" w14:textId="6CF7F2BA" w:rsidR="006169BC" w:rsidRPr="001F4AAE" w:rsidRDefault="00E55056" w:rsidP="0087531D">
            <w:pPr>
              <w:pStyle w:val="TableRow"/>
              <w:rPr>
                <w:rFonts w:asciiTheme="minorHAnsi" w:hAnsiTheme="minorHAnsi"/>
                <w:color w:val="auto"/>
                <w:sz w:val="20"/>
              </w:rPr>
            </w:pPr>
            <w:r>
              <w:rPr>
                <w:rFonts w:asciiTheme="minorHAnsi" w:hAnsiTheme="minorHAnsi"/>
                <w:color w:val="auto"/>
                <w:sz w:val="20"/>
              </w:rPr>
              <w:t>November 202</w:t>
            </w:r>
            <w:r w:rsidR="00EB43D0">
              <w:rPr>
                <w:rFonts w:asciiTheme="minorHAnsi" w:hAnsiTheme="minorHAnsi"/>
                <w:color w:val="auto"/>
                <w:sz w:val="20"/>
              </w:rPr>
              <w:t>4</w:t>
            </w:r>
          </w:p>
        </w:tc>
      </w:tr>
      <w:tr w:rsidR="006169BC" w:rsidRPr="001F4AAE" w14:paraId="78BCDACB" w14:textId="77777777" w:rsidTr="0087531D">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36BD8" w14:textId="77777777" w:rsidR="006169BC" w:rsidRPr="001F4AAE" w:rsidRDefault="006169BC" w:rsidP="0087531D">
            <w:pPr>
              <w:pStyle w:val="TableRow"/>
              <w:rPr>
                <w:rFonts w:asciiTheme="minorHAnsi" w:hAnsiTheme="minorHAnsi"/>
                <w:color w:val="auto"/>
                <w:sz w:val="20"/>
              </w:rPr>
            </w:pPr>
            <w:r w:rsidRPr="001F4AAE">
              <w:rPr>
                <w:rFonts w:asciiTheme="minorHAnsi" w:hAnsiTheme="minorHAnsi"/>
                <w:color w:val="auto"/>
                <w:sz w:val="20"/>
                <w:szCs w:val="22"/>
              </w:rPr>
              <w:t>Date on which it will be reviewed</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CE4A9" w14:textId="308C2FAF" w:rsidR="006169BC" w:rsidRPr="001F4AAE" w:rsidRDefault="000A21DB" w:rsidP="0087531D">
            <w:pPr>
              <w:pStyle w:val="TableRow"/>
              <w:rPr>
                <w:rFonts w:asciiTheme="minorHAnsi" w:hAnsiTheme="minorHAnsi"/>
                <w:color w:val="auto"/>
                <w:sz w:val="20"/>
              </w:rPr>
            </w:pPr>
            <w:r>
              <w:rPr>
                <w:rFonts w:asciiTheme="minorHAnsi" w:hAnsiTheme="minorHAnsi"/>
                <w:color w:val="auto"/>
                <w:sz w:val="20"/>
              </w:rPr>
              <w:t>October</w:t>
            </w:r>
            <w:r w:rsidR="006169BC" w:rsidRPr="001F4AAE">
              <w:rPr>
                <w:rFonts w:asciiTheme="minorHAnsi" w:hAnsiTheme="minorHAnsi"/>
                <w:color w:val="auto"/>
                <w:sz w:val="20"/>
              </w:rPr>
              <w:t xml:space="preserve"> 202</w:t>
            </w:r>
            <w:r w:rsidR="00EB43D0">
              <w:rPr>
                <w:rFonts w:asciiTheme="minorHAnsi" w:hAnsiTheme="minorHAnsi"/>
                <w:color w:val="auto"/>
                <w:sz w:val="20"/>
              </w:rPr>
              <w:t>5</w:t>
            </w:r>
          </w:p>
        </w:tc>
      </w:tr>
      <w:tr w:rsidR="006169BC" w:rsidRPr="001F4AAE" w14:paraId="135F49A1" w14:textId="77777777" w:rsidTr="0087531D">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28ED1" w14:textId="77777777" w:rsidR="006169BC" w:rsidRPr="001F4AAE" w:rsidRDefault="006169BC" w:rsidP="0087531D">
            <w:pPr>
              <w:pStyle w:val="TableRow"/>
              <w:rPr>
                <w:rFonts w:asciiTheme="minorHAnsi" w:hAnsiTheme="minorHAnsi"/>
                <w:color w:val="auto"/>
                <w:sz w:val="20"/>
              </w:rPr>
            </w:pPr>
            <w:r w:rsidRPr="001F4AAE">
              <w:rPr>
                <w:rFonts w:asciiTheme="minorHAnsi" w:hAnsiTheme="minorHAnsi"/>
                <w:color w:val="auto"/>
                <w:sz w:val="20"/>
              </w:rPr>
              <w:t>Statement authorised by</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D9F26" w14:textId="77777777" w:rsidR="006169BC" w:rsidRPr="001F4AAE" w:rsidRDefault="006169BC" w:rsidP="0087531D">
            <w:pPr>
              <w:pStyle w:val="TableRow"/>
              <w:rPr>
                <w:rFonts w:asciiTheme="minorHAnsi" w:hAnsiTheme="minorHAnsi"/>
                <w:color w:val="auto"/>
                <w:sz w:val="20"/>
              </w:rPr>
            </w:pPr>
            <w:r w:rsidRPr="001F4AAE">
              <w:rPr>
                <w:rFonts w:asciiTheme="minorHAnsi" w:hAnsiTheme="minorHAnsi"/>
                <w:color w:val="auto"/>
                <w:sz w:val="20"/>
              </w:rPr>
              <w:t>Rob Campbell, Headteacher</w:t>
            </w:r>
          </w:p>
        </w:tc>
      </w:tr>
      <w:tr w:rsidR="006169BC" w:rsidRPr="001F4AAE" w14:paraId="12501A3F" w14:textId="77777777" w:rsidTr="0087531D">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858AA" w14:textId="77777777" w:rsidR="006169BC" w:rsidRPr="001F4AAE" w:rsidRDefault="006169BC" w:rsidP="0087531D">
            <w:pPr>
              <w:pStyle w:val="TableRow"/>
              <w:rPr>
                <w:rFonts w:asciiTheme="minorHAnsi" w:hAnsiTheme="minorHAnsi"/>
                <w:color w:val="auto"/>
                <w:sz w:val="20"/>
              </w:rPr>
            </w:pPr>
            <w:r w:rsidRPr="001F4AAE">
              <w:rPr>
                <w:rFonts w:asciiTheme="minorHAnsi" w:hAnsiTheme="minorHAnsi"/>
                <w:color w:val="auto"/>
                <w:sz w:val="20"/>
              </w:rPr>
              <w:t>Pupil premium lead</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E4DEB" w14:textId="77777777" w:rsidR="006169BC" w:rsidRPr="001F4AAE" w:rsidRDefault="006169BC" w:rsidP="006169BC">
            <w:pPr>
              <w:pStyle w:val="TableRow"/>
              <w:rPr>
                <w:rFonts w:asciiTheme="minorHAnsi" w:hAnsiTheme="minorHAnsi"/>
                <w:color w:val="auto"/>
                <w:sz w:val="20"/>
                <w:szCs w:val="28"/>
              </w:rPr>
            </w:pPr>
            <w:r w:rsidRPr="001F4AAE">
              <w:rPr>
                <w:rFonts w:asciiTheme="minorHAnsi" w:hAnsiTheme="minorHAnsi"/>
                <w:color w:val="auto"/>
                <w:sz w:val="20"/>
                <w:szCs w:val="28"/>
              </w:rPr>
              <w:t>Rob Campbell, Headteacher</w:t>
            </w:r>
          </w:p>
        </w:tc>
      </w:tr>
      <w:tr w:rsidR="006169BC" w:rsidRPr="001F4AAE" w14:paraId="5C4B13F0" w14:textId="77777777" w:rsidTr="0087531D">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0BAFB1" w14:textId="77777777" w:rsidR="006169BC" w:rsidRPr="001F4AAE" w:rsidRDefault="006169BC" w:rsidP="0087531D">
            <w:pPr>
              <w:pStyle w:val="TableRow"/>
              <w:rPr>
                <w:rFonts w:asciiTheme="minorHAnsi" w:hAnsiTheme="minorHAnsi"/>
                <w:color w:val="auto"/>
                <w:sz w:val="20"/>
              </w:rPr>
            </w:pPr>
            <w:r w:rsidRPr="001F4AAE">
              <w:rPr>
                <w:rFonts w:asciiTheme="minorHAnsi" w:hAnsiTheme="minorHAnsi"/>
                <w:color w:val="auto"/>
                <w:sz w:val="20"/>
              </w:rPr>
              <w:t xml:space="preserve">Governor </w:t>
            </w:r>
            <w:r w:rsidRPr="001F4AAE">
              <w:rPr>
                <w:rFonts w:asciiTheme="minorHAnsi" w:hAnsiTheme="minorHAnsi"/>
                <w:color w:val="auto"/>
                <w:sz w:val="20"/>
                <w:szCs w:val="22"/>
              </w:rPr>
              <w:t xml:space="preserve">/ Trustee </w:t>
            </w:r>
            <w:r w:rsidRPr="001F4AAE">
              <w:rPr>
                <w:rFonts w:asciiTheme="minorHAnsi" w:hAnsiTheme="minorHAnsi"/>
                <w:color w:val="auto"/>
                <w:sz w:val="20"/>
              </w:rPr>
              <w:t>lead</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B23C0A" w14:textId="77777777" w:rsidR="006169BC" w:rsidRDefault="006169BC" w:rsidP="0087531D">
            <w:pPr>
              <w:pStyle w:val="TableRow"/>
              <w:rPr>
                <w:rFonts w:asciiTheme="minorHAnsi" w:hAnsiTheme="minorHAnsi"/>
                <w:color w:val="auto"/>
                <w:sz w:val="20"/>
                <w:szCs w:val="28"/>
              </w:rPr>
            </w:pPr>
            <w:r w:rsidRPr="001F4AAE">
              <w:rPr>
                <w:rFonts w:asciiTheme="minorHAnsi" w:hAnsiTheme="minorHAnsi"/>
                <w:color w:val="auto"/>
                <w:sz w:val="20"/>
                <w:szCs w:val="28"/>
              </w:rPr>
              <w:t>Cian Gilbey (CoG)</w:t>
            </w:r>
          </w:p>
          <w:p w14:paraId="295FD3BF" w14:textId="09F18487" w:rsidR="0016224E" w:rsidRPr="001F4AAE" w:rsidRDefault="002E175A" w:rsidP="0087531D">
            <w:pPr>
              <w:pStyle w:val="TableRow"/>
              <w:rPr>
                <w:rFonts w:asciiTheme="minorHAnsi" w:hAnsiTheme="minorHAnsi"/>
                <w:color w:val="auto"/>
                <w:sz w:val="20"/>
                <w:szCs w:val="28"/>
              </w:rPr>
            </w:pPr>
            <w:r>
              <w:rPr>
                <w:rFonts w:asciiTheme="minorHAnsi" w:hAnsiTheme="minorHAnsi"/>
                <w:color w:val="auto"/>
                <w:sz w:val="20"/>
                <w:szCs w:val="28"/>
              </w:rPr>
              <w:t>Nicky Maycock, Mick Welsh</w:t>
            </w:r>
          </w:p>
        </w:tc>
      </w:tr>
    </w:tbl>
    <w:p w14:paraId="4748B7F4" w14:textId="77777777" w:rsidR="006169BC" w:rsidRPr="001F4AAE" w:rsidRDefault="006169BC" w:rsidP="006169BC">
      <w:pPr>
        <w:pStyle w:val="Heading2"/>
        <w:spacing w:after="240"/>
        <w:rPr>
          <w:rFonts w:asciiTheme="minorHAnsi" w:hAnsiTheme="minorHAnsi"/>
        </w:rPr>
      </w:pPr>
      <w:r w:rsidRPr="001F4AAE">
        <w:rPr>
          <w:rFonts w:asciiTheme="minorHAnsi" w:hAnsiTheme="minorHAnsi"/>
        </w:rPr>
        <w:t>Funding overview</w:t>
      </w:r>
    </w:p>
    <w:tbl>
      <w:tblPr>
        <w:tblW w:w="5000" w:type="pct"/>
        <w:tblCellMar>
          <w:left w:w="10" w:type="dxa"/>
          <w:right w:w="10" w:type="dxa"/>
        </w:tblCellMar>
        <w:tblLook w:val="04A0" w:firstRow="1" w:lastRow="0" w:firstColumn="1" w:lastColumn="0" w:noHBand="0" w:noVBand="1"/>
      </w:tblPr>
      <w:tblGrid>
        <w:gridCol w:w="7183"/>
        <w:gridCol w:w="3273"/>
      </w:tblGrid>
      <w:tr w:rsidR="006169BC" w:rsidRPr="001F4AAE" w14:paraId="08D6FB8A" w14:textId="77777777" w:rsidTr="006169BC">
        <w:trPr>
          <w:trHeight w:val="374"/>
        </w:trPr>
        <w:tc>
          <w:tcPr>
            <w:tcW w:w="3435" w:type="pct"/>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4BC5D658" w14:textId="77777777" w:rsidR="006169BC" w:rsidRPr="001F4AAE" w:rsidRDefault="006169BC" w:rsidP="0087531D">
            <w:pPr>
              <w:pStyle w:val="TableRow"/>
              <w:rPr>
                <w:rFonts w:asciiTheme="minorHAnsi" w:hAnsiTheme="minorHAnsi"/>
                <w:color w:val="auto"/>
                <w:sz w:val="20"/>
              </w:rPr>
            </w:pPr>
            <w:r w:rsidRPr="001F4AAE">
              <w:rPr>
                <w:rFonts w:asciiTheme="minorHAnsi" w:hAnsiTheme="minorHAnsi"/>
                <w:b/>
                <w:color w:val="auto"/>
                <w:sz w:val="20"/>
              </w:rPr>
              <w:t>Detail</w:t>
            </w:r>
          </w:p>
        </w:tc>
        <w:tc>
          <w:tcPr>
            <w:tcW w:w="1565" w:type="pct"/>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7FBCCB7A" w14:textId="77777777" w:rsidR="006169BC" w:rsidRPr="001F4AAE" w:rsidRDefault="006169BC" w:rsidP="0087531D">
            <w:pPr>
              <w:pStyle w:val="TableRow"/>
              <w:rPr>
                <w:rFonts w:asciiTheme="minorHAnsi" w:hAnsiTheme="minorHAnsi"/>
                <w:color w:val="auto"/>
                <w:sz w:val="20"/>
              </w:rPr>
            </w:pPr>
            <w:r w:rsidRPr="001F4AAE">
              <w:rPr>
                <w:rFonts w:asciiTheme="minorHAnsi" w:hAnsiTheme="minorHAnsi"/>
                <w:b/>
                <w:color w:val="auto"/>
                <w:sz w:val="20"/>
              </w:rPr>
              <w:t>Amount</w:t>
            </w:r>
          </w:p>
        </w:tc>
      </w:tr>
      <w:tr w:rsidR="006169BC" w:rsidRPr="001F4AAE" w14:paraId="5A475AAA" w14:textId="77777777" w:rsidTr="006169BC">
        <w:trPr>
          <w:trHeight w:val="374"/>
        </w:trPr>
        <w:tc>
          <w:tcPr>
            <w:tcW w:w="343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7C861F" w14:textId="77777777" w:rsidR="006169BC" w:rsidRPr="001F4AAE" w:rsidRDefault="006169BC" w:rsidP="0087531D">
            <w:pPr>
              <w:pStyle w:val="TableRow"/>
              <w:rPr>
                <w:rFonts w:asciiTheme="minorHAnsi" w:hAnsiTheme="minorHAnsi"/>
                <w:color w:val="auto"/>
                <w:sz w:val="20"/>
              </w:rPr>
            </w:pPr>
            <w:r w:rsidRPr="001F4AAE">
              <w:rPr>
                <w:rFonts w:asciiTheme="minorHAnsi" w:hAnsiTheme="minorHAnsi"/>
                <w:color w:val="auto"/>
                <w:sz w:val="20"/>
              </w:rPr>
              <w:t>Pupil premium funding allocation this academic year</w:t>
            </w:r>
          </w:p>
        </w:tc>
        <w:tc>
          <w:tcPr>
            <w:tcW w:w="156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321473" w14:textId="1AA69784" w:rsidR="006169BC" w:rsidRPr="001F4AAE" w:rsidRDefault="00846A99" w:rsidP="0087531D">
            <w:pPr>
              <w:pStyle w:val="TableRow"/>
              <w:rPr>
                <w:rFonts w:asciiTheme="minorHAnsi" w:hAnsiTheme="minorHAnsi"/>
                <w:color w:val="auto"/>
                <w:sz w:val="20"/>
              </w:rPr>
            </w:pPr>
            <w:r>
              <w:rPr>
                <w:rFonts w:asciiTheme="minorHAnsi" w:hAnsiTheme="minorHAnsi"/>
                <w:color w:val="auto"/>
                <w:sz w:val="20"/>
              </w:rPr>
              <w:t>£</w:t>
            </w:r>
            <w:r w:rsidR="00530B28">
              <w:rPr>
                <w:rFonts w:asciiTheme="minorHAnsi" w:hAnsiTheme="minorHAnsi"/>
                <w:color w:val="auto"/>
                <w:sz w:val="20"/>
              </w:rPr>
              <w:t>16,700</w:t>
            </w:r>
            <w:r>
              <w:rPr>
                <w:rFonts w:asciiTheme="minorHAnsi" w:hAnsiTheme="minorHAnsi"/>
                <w:color w:val="auto"/>
                <w:sz w:val="20"/>
              </w:rPr>
              <w:t>*</w:t>
            </w:r>
          </w:p>
        </w:tc>
      </w:tr>
      <w:tr w:rsidR="006169BC" w:rsidRPr="001F4AAE" w14:paraId="4AFBCE99" w14:textId="77777777" w:rsidTr="006169BC">
        <w:trPr>
          <w:trHeight w:val="374"/>
        </w:trPr>
        <w:tc>
          <w:tcPr>
            <w:tcW w:w="343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6E1242" w14:textId="77777777" w:rsidR="006169BC" w:rsidRPr="001F4AAE" w:rsidRDefault="006169BC" w:rsidP="0087531D">
            <w:pPr>
              <w:pStyle w:val="TableRow"/>
              <w:rPr>
                <w:rFonts w:asciiTheme="minorHAnsi" w:hAnsiTheme="minorHAnsi"/>
                <w:color w:val="auto"/>
                <w:sz w:val="20"/>
              </w:rPr>
            </w:pPr>
            <w:r w:rsidRPr="001F4AAE">
              <w:rPr>
                <w:rFonts w:asciiTheme="minorHAnsi" w:hAnsiTheme="minorHAnsi"/>
                <w:color w:val="auto"/>
                <w:sz w:val="20"/>
              </w:rPr>
              <w:t>Recovery premium funding allocation this academic year</w:t>
            </w:r>
          </w:p>
        </w:tc>
        <w:tc>
          <w:tcPr>
            <w:tcW w:w="156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F5A65" w14:textId="77777777" w:rsidR="006169BC" w:rsidRPr="001F4AAE" w:rsidRDefault="00846A99" w:rsidP="0087531D">
            <w:pPr>
              <w:pStyle w:val="TableRow"/>
              <w:rPr>
                <w:rFonts w:asciiTheme="minorHAnsi" w:hAnsiTheme="minorHAnsi"/>
                <w:color w:val="auto"/>
                <w:sz w:val="20"/>
              </w:rPr>
            </w:pPr>
            <w:r>
              <w:rPr>
                <w:rFonts w:asciiTheme="minorHAnsi" w:hAnsiTheme="minorHAnsi"/>
                <w:color w:val="auto"/>
                <w:sz w:val="20"/>
              </w:rPr>
              <w:t xml:space="preserve">£2,000 </w:t>
            </w:r>
          </w:p>
        </w:tc>
      </w:tr>
      <w:tr w:rsidR="006169BC" w:rsidRPr="001F4AAE" w14:paraId="2B1FFB0B" w14:textId="77777777" w:rsidTr="006169BC">
        <w:trPr>
          <w:trHeight w:val="374"/>
        </w:trPr>
        <w:tc>
          <w:tcPr>
            <w:tcW w:w="343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31B1BA" w14:textId="77777777" w:rsidR="006169BC" w:rsidRPr="001F4AAE" w:rsidRDefault="006169BC" w:rsidP="0087531D">
            <w:pPr>
              <w:pStyle w:val="TableRow"/>
              <w:rPr>
                <w:rFonts w:asciiTheme="minorHAnsi" w:hAnsiTheme="minorHAnsi"/>
                <w:color w:val="auto"/>
                <w:sz w:val="20"/>
              </w:rPr>
            </w:pPr>
            <w:r w:rsidRPr="001F4AAE">
              <w:rPr>
                <w:rFonts w:asciiTheme="minorHAnsi" w:hAnsiTheme="minorHAnsi"/>
                <w:color w:val="auto"/>
                <w:sz w:val="20"/>
              </w:rPr>
              <w:t>Pupil premium funding carried forward from previous years (enter £0 if not applicable)</w:t>
            </w:r>
          </w:p>
        </w:tc>
        <w:tc>
          <w:tcPr>
            <w:tcW w:w="156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C06DC" w14:textId="77777777" w:rsidR="006169BC" w:rsidRPr="001F4AAE" w:rsidRDefault="00846A99" w:rsidP="0087531D">
            <w:pPr>
              <w:pStyle w:val="TableRow"/>
              <w:rPr>
                <w:rFonts w:asciiTheme="minorHAnsi" w:hAnsiTheme="minorHAnsi"/>
                <w:color w:val="auto"/>
                <w:sz w:val="20"/>
              </w:rPr>
            </w:pPr>
            <w:r>
              <w:rPr>
                <w:rFonts w:asciiTheme="minorHAnsi" w:hAnsiTheme="minorHAnsi"/>
                <w:color w:val="auto"/>
                <w:sz w:val="20"/>
              </w:rPr>
              <w:t>£0</w:t>
            </w:r>
          </w:p>
        </w:tc>
      </w:tr>
      <w:tr w:rsidR="006169BC" w:rsidRPr="001F4AAE" w14:paraId="4F8ED5A2" w14:textId="77777777" w:rsidTr="006169BC">
        <w:tc>
          <w:tcPr>
            <w:tcW w:w="343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E95AA" w14:textId="77777777" w:rsidR="006169BC" w:rsidRPr="001F4AAE" w:rsidRDefault="006169BC" w:rsidP="006169BC">
            <w:pPr>
              <w:pStyle w:val="TableRow"/>
              <w:rPr>
                <w:rFonts w:asciiTheme="minorHAnsi" w:hAnsiTheme="minorHAnsi"/>
                <w:b/>
                <w:color w:val="auto"/>
                <w:sz w:val="20"/>
              </w:rPr>
            </w:pPr>
            <w:r w:rsidRPr="001F4AAE">
              <w:rPr>
                <w:rFonts w:asciiTheme="minorHAnsi" w:hAnsiTheme="minorHAnsi"/>
                <w:b/>
                <w:color w:val="auto"/>
                <w:sz w:val="20"/>
              </w:rPr>
              <w:t>Total budget for this academic year</w:t>
            </w:r>
          </w:p>
        </w:tc>
        <w:tc>
          <w:tcPr>
            <w:tcW w:w="156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044DE" w14:textId="1E2DD629" w:rsidR="006169BC" w:rsidRPr="001F4AAE" w:rsidRDefault="00846A99" w:rsidP="0087531D">
            <w:pPr>
              <w:pStyle w:val="TableRow"/>
              <w:rPr>
                <w:rFonts w:asciiTheme="minorHAnsi" w:hAnsiTheme="minorHAnsi"/>
                <w:color w:val="auto"/>
                <w:sz w:val="20"/>
              </w:rPr>
            </w:pPr>
            <w:r>
              <w:rPr>
                <w:rFonts w:asciiTheme="minorHAnsi" w:hAnsiTheme="minorHAnsi"/>
                <w:color w:val="auto"/>
                <w:sz w:val="20"/>
              </w:rPr>
              <w:t>£</w:t>
            </w:r>
            <w:r w:rsidR="00530B28">
              <w:rPr>
                <w:rFonts w:asciiTheme="minorHAnsi" w:hAnsiTheme="minorHAnsi"/>
                <w:color w:val="auto"/>
                <w:sz w:val="20"/>
              </w:rPr>
              <w:t>18</w:t>
            </w:r>
            <w:r w:rsidR="000E2643">
              <w:rPr>
                <w:rFonts w:asciiTheme="minorHAnsi" w:hAnsiTheme="minorHAnsi"/>
                <w:color w:val="auto"/>
                <w:sz w:val="20"/>
              </w:rPr>
              <w:t>,</w:t>
            </w:r>
            <w:r w:rsidR="003627BA">
              <w:rPr>
                <w:rFonts w:asciiTheme="minorHAnsi" w:hAnsiTheme="minorHAnsi"/>
                <w:color w:val="auto"/>
                <w:sz w:val="20"/>
              </w:rPr>
              <w:t>700</w:t>
            </w:r>
            <w:r>
              <w:rPr>
                <w:rFonts w:asciiTheme="minorHAnsi" w:hAnsiTheme="minorHAnsi"/>
                <w:color w:val="auto"/>
                <w:sz w:val="20"/>
              </w:rPr>
              <w:t>**</w:t>
            </w:r>
          </w:p>
        </w:tc>
      </w:tr>
    </w:tbl>
    <w:p w14:paraId="35A691A7" w14:textId="64F03D5E" w:rsidR="006169BC" w:rsidRPr="001F4AAE" w:rsidRDefault="00846A99" w:rsidP="000C21AD">
      <w:r>
        <w:br/>
        <w:t xml:space="preserve">* Not including Service Pupil Premium, documented separately. </w:t>
      </w:r>
      <w:r>
        <w:br/>
        <w:t>** In addition, we receiv</w:t>
      </w:r>
      <w:r w:rsidR="000E2643">
        <w:t>ed</w:t>
      </w:r>
      <w:r>
        <w:t xml:space="preserve"> support from the NTP through the Academic Mentor scheme</w:t>
      </w:r>
      <w:r w:rsidR="000E2643">
        <w:t xml:space="preserve"> in the </w:t>
      </w:r>
      <w:r w:rsidR="00EB43D0">
        <w:t>previous years</w:t>
      </w:r>
      <w:r w:rsidR="000E2643">
        <w:t xml:space="preserve">. </w:t>
      </w:r>
    </w:p>
    <w:p w14:paraId="522E796D" w14:textId="77777777" w:rsidR="006169BC" w:rsidRPr="001F4AAE" w:rsidRDefault="006169BC" w:rsidP="006169BC">
      <w:pPr>
        <w:rPr>
          <w:rFonts w:eastAsiaTheme="majorEastAsia" w:cstheme="majorBidi"/>
          <w:color w:val="374C80" w:themeColor="accent1" w:themeShade="BF"/>
          <w:sz w:val="36"/>
          <w:szCs w:val="36"/>
        </w:rPr>
      </w:pPr>
      <w:r w:rsidRPr="001F4AAE">
        <w:br w:type="page"/>
      </w:r>
    </w:p>
    <w:p w14:paraId="5BF5288E" w14:textId="77777777" w:rsidR="006169BC" w:rsidRPr="001F4AAE" w:rsidRDefault="006169BC" w:rsidP="006169BC">
      <w:pPr>
        <w:pStyle w:val="Heading1"/>
        <w:rPr>
          <w:rFonts w:asciiTheme="minorHAnsi" w:hAnsiTheme="minorHAnsi"/>
        </w:rPr>
      </w:pPr>
      <w:r w:rsidRPr="001F4AAE">
        <w:rPr>
          <w:rFonts w:asciiTheme="minorHAnsi" w:hAnsiTheme="minorHAnsi"/>
        </w:rPr>
        <w:lastRenderedPageBreak/>
        <w:t xml:space="preserve">Part A: Pupil </w:t>
      </w:r>
      <w:r w:rsidR="00F37C33">
        <w:rPr>
          <w:rFonts w:asciiTheme="minorHAnsi" w:hAnsiTheme="minorHAnsi"/>
        </w:rPr>
        <w:t>P</w:t>
      </w:r>
      <w:r w:rsidRPr="001F4AAE">
        <w:rPr>
          <w:rFonts w:asciiTheme="minorHAnsi" w:hAnsiTheme="minorHAnsi"/>
        </w:rPr>
        <w:t xml:space="preserve">remium </w:t>
      </w:r>
      <w:r w:rsidR="00F37C33">
        <w:rPr>
          <w:rFonts w:asciiTheme="minorHAnsi" w:hAnsiTheme="minorHAnsi"/>
        </w:rPr>
        <w:t>S</w:t>
      </w:r>
      <w:r w:rsidRPr="001F4AAE">
        <w:rPr>
          <w:rFonts w:asciiTheme="minorHAnsi" w:hAnsiTheme="minorHAnsi"/>
        </w:rPr>
        <w:t xml:space="preserve">trategy </w:t>
      </w:r>
      <w:r w:rsidR="00F37C33">
        <w:rPr>
          <w:rFonts w:asciiTheme="minorHAnsi" w:hAnsiTheme="minorHAnsi"/>
        </w:rPr>
        <w:t>P</w:t>
      </w:r>
      <w:r w:rsidRPr="001F4AAE">
        <w:rPr>
          <w:rFonts w:asciiTheme="minorHAnsi" w:hAnsiTheme="minorHAnsi"/>
        </w:rPr>
        <w:t>lan</w:t>
      </w:r>
    </w:p>
    <w:p w14:paraId="6721C73F" w14:textId="77777777" w:rsidR="006169BC" w:rsidRPr="001F4AAE" w:rsidRDefault="006169BC" w:rsidP="00E35031">
      <w:pPr>
        <w:pStyle w:val="Heading2"/>
        <w:spacing w:after="240"/>
        <w:rPr>
          <w:rFonts w:asciiTheme="minorHAnsi" w:hAnsiTheme="minorHAnsi"/>
        </w:rPr>
      </w:pPr>
      <w:bookmarkStart w:id="9" w:name="_Toc357771640"/>
      <w:bookmarkStart w:id="10" w:name="_Toc346793418"/>
      <w:r w:rsidRPr="001F4AAE">
        <w:rPr>
          <w:rFonts w:asciiTheme="minorHAnsi" w:hAnsiTheme="minorHAnsi"/>
        </w:rPr>
        <w:t>Statement of intent</w:t>
      </w:r>
    </w:p>
    <w:tbl>
      <w:tblPr>
        <w:tblW w:w="5000" w:type="pct"/>
        <w:tblCellMar>
          <w:left w:w="10" w:type="dxa"/>
          <w:right w:w="10" w:type="dxa"/>
        </w:tblCellMar>
        <w:tblLook w:val="04A0" w:firstRow="1" w:lastRow="0" w:firstColumn="1" w:lastColumn="0" w:noHBand="0" w:noVBand="1"/>
      </w:tblPr>
      <w:tblGrid>
        <w:gridCol w:w="10456"/>
      </w:tblGrid>
      <w:tr w:rsidR="00E35031" w:rsidRPr="001F4AAE" w14:paraId="161CF032" w14:textId="77777777" w:rsidTr="006169BC">
        <w:tc>
          <w:tcPr>
            <w:tcW w:w="50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598CD" w14:textId="77777777" w:rsidR="006169BC" w:rsidRPr="00C5355C" w:rsidRDefault="00E35031" w:rsidP="00D5367C">
            <w:pPr>
              <w:spacing w:before="240" w:after="240" w:line="288" w:lineRule="auto"/>
              <w:rPr>
                <w:rFonts w:cs="Arial"/>
                <w:iCs/>
                <w:color w:val="000000" w:themeColor="text1"/>
              </w:rPr>
            </w:pPr>
            <w:r w:rsidRPr="00C5355C">
              <w:rPr>
                <w:rFonts w:cs="Arial"/>
                <w:iCs/>
                <w:color w:val="000000" w:themeColor="text1"/>
              </w:rPr>
              <w:t xml:space="preserve">Pupils at RAF Leeming CP school face a diverse range of challenges. It is out intent to utilize all forms of pupil premium (Disadvantaged, Service and Recovery / Catch Up Premium) to address these. </w:t>
            </w:r>
          </w:p>
          <w:p w14:paraId="2423ACF1" w14:textId="77777777" w:rsidR="00E35031" w:rsidRPr="00C5355C" w:rsidRDefault="00E35031" w:rsidP="00E35031">
            <w:pPr>
              <w:spacing w:after="240" w:line="288" w:lineRule="auto"/>
              <w:rPr>
                <w:rFonts w:cs="Arial"/>
                <w:iCs/>
                <w:color w:val="000000" w:themeColor="text1"/>
              </w:rPr>
            </w:pPr>
            <w:r w:rsidRPr="00C5355C">
              <w:rPr>
                <w:rFonts w:cs="Arial"/>
                <w:iCs/>
                <w:color w:val="000000" w:themeColor="text1"/>
              </w:rPr>
              <w:t xml:space="preserve">This statement deals primarily with DPP (Disadvantaged Pupil Premium) and RP (Recovery Premium). We maintain a separate SPP statement, although reference is made to this below also. However, many of the contextual challenges facing our DPs (Disadvantaged Pupils) relate to their status as SPs (Service Pupils). Therefore many of the strategies used to overcome these will have commonality across allocation of SPP and DPP. </w:t>
            </w:r>
            <w:r w:rsidR="001F4AAE" w:rsidRPr="00C5355C">
              <w:rPr>
                <w:rFonts w:cs="Arial"/>
                <w:iCs/>
                <w:color w:val="000000" w:themeColor="text1"/>
              </w:rPr>
              <w:t xml:space="preserve"> </w:t>
            </w:r>
          </w:p>
          <w:p w14:paraId="07AE636F" w14:textId="77777777" w:rsidR="00E35031" w:rsidRPr="00C5355C" w:rsidRDefault="00E35031" w:rsidP="00E35031">
            <w:pPr>
              <w:spacing w:after="240" w:line="288" w:lineRule="auto"/>
              <w:rPr>
                <w:rFonts w:cs="Arial"/>
                <w:iCs/>
                <w:color w:val="000000" w:themeColor="text1"/>
              </w:rPr>
            </w:pPr>
            <w:r w:rsidRPr="00C5355C">
              <w:rPr>
                <w:rFonts w:cs="Arial"/>
                <w:iCs/>
                <w:color w:val="000000" w:themeColor="text1"/>
              </w:rPr>
              <w:t>We seek to ensure that all strategies are based on key principles. These are:</w:t>
            </w:r>
          </w:p>
          <w:p w14:paraId="4829508C" w14:textId="77777777" w:rsidR="00E35031" w:rsidRPr="00C5355C" w:rsidRDefault="00E35031" w:rsidP="00B868D2">
            <w:pPr>
              <w:numPr>
                <w:ilvl w:val="0"/>
                <w:numId w:val="10"/>
              </w:numPr>
              <w:spacing w:after="0" w:line="288" w:lineRule="auto"/>
              <w:rPr>
                <w:rFonts w:cs="Arial"/>
                <w:iCs/>
                <w:color w:val="000000" w:themeColor="text1"/>
              </w:rPr>
            </w:pPr>
            <w:r w:rsidRPr="00C5355C">
              <w:rPr>
                <w:rFonts w:cs="Arial"/>
                <w:iCs/>
                <w:color w:val="000000" w:themeColor="text1"/>
              </w:rPr>
              <w:t>The importance of quality first teaching – we recognize that QFT is the single biggest factor in promoting DPP progress. Whatever additional and different strategies are proposed below (in terms of mentoring, interventions, staff support etc.), these do not negate, indeed, should actively support, QFT.</w:t>
            </w:r>
          </w:p>
          <w:p w14:paraId="7403DFAD" w14:textId="77777777" w:rsidR="00E35031" w:rsidRPr="00C5355C" w:rsidRDefault="00E35031" w:rsidP="00B868D2">
            <w:pPr>
              <w:numPr>
                <w:ilvl w:val="0"/>
                <w:numId w:val="10"/>
              </w:numPr>
              <w:spacing w:after="0" w:line="288" w:lineRule="auto"/>
              <w:rPr>
                <w:rFonts w:cs="Arial"/>
                <w:iCs/>
                <w:color w:val="000000" w:themeColor="text1"/>
              </w:rPr>
            </w:pPr>
            <w:r w:rsidRPr="00C5355C">
              <w:rPr>
                <w:rFonts w:cs="Arial"/>
                <w:iCs/>
                <w:color w:val="000000" w:themeColor="text1"/>
              </w:rPr>
              <w:t>Research-based – the EEF provides us with a secure evidence based for a range of approaches. In addition, materials from the SCiP Alliance, including the Thriving Lives Toolkit, as well a</w:t>
            </w:r>
            <w:r w:rsidR="001F4AAE" w:rsidRPr="00C5355C">
              <w:rPr>
                <w:rFonts w:cs="Arial"/>
                <w:iCs/>
                <w:color w:val="000000" w:themeColor="text1"/>
              </w:rPr>
              <w:t>s programmes developed across our Teaching School Alliance underpin our approach.</w:t>
            </w:r>
          </w:p>
          <w:p w14:paraId="53A8E15D" w14:textId="77777777" w:rsidR="001F4AAE" w:rsidRPr="00C5355C" w:rsidRDefault="001F4AAE" w:rsidP="00B868D2">
            <w:pPr>
              <w:numPr>
                <w:ilvl w:val="0"/>
                <w:numId w:val="10"/>
              </w:numPr>
              <w:spacing w:after="0" w:line="288" w:lineRule="auto"/>
              <w:rPr>
                <w:rFonts w:cs="Arial"/>
                <w:iCs/>
                <w:color w:val="000000" w:themeColor="text1"/>
              </w:rPr>
            </w:pPr>
            <w:r w:rsidRPr="00C5355C">
              <w:rPr>
                <w:rFonts w:cs="Arial"/>
                <w:iCs/>
                <w:color w:val="000000" w:themeColor="text1"/>
              </w:rPr>
              <w:t xml:space="preserve">Transferrable – we recognise that, in the vast majority of cases, approaches which benefit DPs also promote pupil progress for all children. Therefore, wherever possible, we seek to ensure that strategies benefit not only our small number of DPs, but any other child with underlying vulnerabilities. </w:t>
            </w:r>
          </w:p>
          <w:p w14:paraId="10DA8DD2" w14:textId="77777777" w:rsidR="0060034D" w:rsidRPr="00C5355C" w:rsidRDefault="0060034D" w:rsidP="00B868D2">
            <w:pPr>
              <w:numPr>
                <w:ilvl w:val="0"/>
                <w:numId w:val="10"/>
              </w:numPr>
              <w:spacing w:after="0" w:line="288" w:lineRule="auto"/>
              <w:rPr>
                <w:rFonts w:cs="Arial"/>
                <w:iCs/>
                <w:color w:val="000000" w:themeColor="text1"/>
              </w:rPr>
            </w:pPr>
            <w:r w:rsidRPr="00C5355C">
              <w:rPr>
                <w:rFonts w:cs="Arial"/>
                <w:iCs/>
                <w:color w:val="000000" w:themeColor="text1"/>
              </w:rPr>
              <w:t xml:space="preserve">Collaborative – we seek to work in partnership with other organisations to ensure that resources ‘go further’ in supporting vulnerable and DPs. </w:t>
            </w:r>
            <w:r w:rsidR="005D6203" w:rsidRPr="00C5355C">
              <w:rPr>
                <w:rFonts w:cs="Arial"/>
                <w:iCs/>
                <w:color w:val="000000" w:themeColor="text1"/>
              </w:rPr>
              <w:t xml:space="preserve">For example, by partnering with the National Tutoring Programme’s Academic Mentor route, we have secured substantial extension of resource beyond the limitations of what we would have received as school led funding. </w:t>
            </w:r>
          </w:p>
          <w:p w14:paraId="2B7F6D62" w14:textId="77777777" w:rsidR="005D6203" w:rsidRDefault="005D6203" w:rsidP="00B868D2">
            <w:pPr>
              <w:numPr>
                <w:ilvl w:val="0"/>
                <w:numId w:val="10"/>
              </w:numPr>
              <w:spacing w:after="0" w:line="288" w:lineRule="auto"/>
              <w:rPr>
                <w:rFonts w:cs="Arial"/>
                <w:iCs/>
                <w:color w:val="000000" w:themeColor="text1"/>
              </w:rPr>
            </w:pPr>
            <w:r w:rsidRPr="00C5355C">
              <w:rPr>
                <w:rFonts w:cs="Arial"/>
                <w:iCs/>
                <w:color w:val="000000" w:themeColor="text1"/>
              </w:rPr>
              <w:t xml:space="preserve">Responsive – not only do the numbers and individuals in receipt of DPP and SPP change regularly due to our military context and high mobility, but the </w:t>
            </w:r>
            <w:r w:rsidRPr="00C5355C">
              <w:rPr>
                <w:rFonts w:cs="Arial"/>
                <w:i/>
                <w:iCs/>
                <w:color w:val="000000" w:themeColor="text1"/>
              </w:rPr>
              <w:t>needs</w:t>
            </w:r>
            <w:r w:rsidRPr="00C5355C">
              <w:rPr>
                <w:rFonts w:cs="Arial"/>
                <w:iCs/>
                <w:color w:val="000000" w:themeColor="text1"/>
              </w:rPr>
              <w:t xml:space="preserve"> of these pupils varies hugely too. This may be as a result of the specific</w:t>
            </w:r>
            <w:r w:rsidR="001C7077" w:rsidRPr="00C5355C">
              <w:rPr>
                <w:rFonts w:cs="Arial"/>
                <w:iCs/>
                <w:color w:val="000000" w:themeColor="text1"/>
              </w:rPr>
              <w:t xml:space="preserve"> circumstances in their lives at any point (e.g. parental deployment</w:t>
            </w:r>
            <w:r w:rsidR="00A123E7" w:rsidRPr="00C5355C">
              <w:rPr>
                <w:rFonts w:cs="Arial"/>
                <w:iCs/>
                <w:color w:val="000000" w:themeColor="text1"/>
              </w:rPr>
              <w:t xml:space="preserve">, safeguarding matters </w:t>
            </w:r>
            <w:r w:rsidR="001C7077" w:rsidRPr="00C5355C">
              <w:rPr>
                <w:rFonts w:cs="Arial"/>
                <w:iCs/>
                <w:color w:val="000000" w:themeColor="text1"/>
              </w:rPr>
              <w:t xml:space="preserve">etc.) or </w:t>
            </w:r>
            <w:r w:rsidR="00A123E7" w:rsidRPr="00C5355C">
              <w:rPr>
                <w:rFonts w:cs="Arial"/>
                <w:iCs/>
                <w:color w:val="000000" w:themeColor="text1"/>
              </w:rPr>
              <w:t xml:space="preserve">a product of changing key stages, curriculum expectations other factors. As a result, our strategies to support are responsive to these changing needs and include flexibility. </w:t>
            </w:r>
          </w:p>
          <w:p w14:paraId="52941600" w14:textId="77777777" w:rsidR="00B868D2" w:rsidRPr="00C5355C" w:rsidRDefault="00B868D2" w:rsidP="00B868D2">
            <w:pPr>
              <w:spacing w:after="0" w:line="288" w:lineRule="auto"/>
              <w:rPr>
                <w:rFonts w:cs="Arial"/>
                <w:iCs/>
                <w:color w:val="000000" w:themeColor="text1"/>
              </w:rPr>
            </w:pPr>
          </w:p>
        </w:tc>
      </w:tr>
    </w:tbl>
    <w:p w14:paraId="6F375ABE" w14:textId="77777777" w:rsidR="00A123E7" w:rsidRDefault="00A123E7" w:rsidP="006169BC">
      <w:pPr>
        <w:pStyle w:val="Heading2"/>
        <w:spacing w:before="600"/>
        <w:rPr>
          <w:rFonts w:asciiTheme="minorHAnsi" w:hAnsiTheme="minorHAnsi"/>
        </w:rPr>
      </w:pPr>
    </w:p>
    <w:p w14:paraId="39A12E26" w14:textId="77777777" w:rsidR="00A123E7" w:rsidRDefault="00A123E7" w:rsidP="00A123E7">
      <w:pPr>
        <w:rPr>
          <w:rFonts w:eastAsiaTheme="majorEastAsia" w:cstheme="majorBidi"/>
          <w:color w:val="374C80" w:themeColor="accent1" w:themeShade="BF"/>
          <w:sz w:val="28"/>
          <w:szCs w:val="28"/>
        </w:rPr>
      </w:pPr>
      <w:r>
        <w:br w:type="page"/>
      </w:r>
    </w:p>
    <w:p w14:paraId="77743CD8" w14:textId="77777777" w:rsidR="006169BC" w:rsidRPr="001F4AAE" w:rsidRDefault="006169BC" w:rsidP="006169BC">
      <w:pPr>
        <w:pStyle w:val="Heading2"/>
        <w:spacing w:before="600"/>
        <w:rPr>
          <w:rFonts w:asciiTheme="minorHAnsi" w:hAnsiTheme="minorHAnsi"/>
        </w:rPr>
      </w:pPr>
      <w:r w:rsidRPr="001F4AAE">
        <w:rPr>
          <w:rFonts w:asciiTheme="minorHAnsi" w:hAnsiTheme="minorHAnsi"/>
        </w:rPr>
        <w:lastRenderedPageBreak/>
        <w:t>Challenges</w:t>
      </w:r>
    </w:p>
    <w:p w14:paraId="414F30E4" w14:textId="57DE9574" w:rsidR="006169BC" w:rsidRPr="00C5355C" w:rsidRDefault="006169BC" w:rsidP="006169BC">
      <w:pPr>
        <w:spacing w:before="120" w:line="240" w:lineRule="auto"/>
        <w:textAlignment w:val="baseline"/>
        <w:outlineLvl w:val="0"/>
      </w:pPr>
      <w:r w:rsidRPr="00C5355C">
        <w:rPr>
          <w:bCs/>
        </w:rPr>
        <w:t>This details</w:t>
      </w:r>
      <w:r w:rsidRPr="00C5355C">
        <w:t xml:space="preserve"> the key</w:t>
      </w:r>
      <w:r w:rsidRPr="00C5355C">
        <w:rPr>
          <w:bCs/>
        </w:rPr>
        <w:t xml:space="preserve"> </w:t>
      </w:r>
      <w:r w:rsidRPr="00C5355C">
        <w:t xml:space="preserve">challenges to </w:t>
      </w:r>
      <w:r w:rsidRPr="00C5355C">
        <w:rPr>
          <w:bCs/>
        </w:rPr>
        <w:t>achievement that we have</w:t>
      </w:r>
      <w:r w:rsidRPr="00C5355C">
        <w:t xml:space="preserve"> identified among </w:t>
      </w:r>
      <w:r w:rsidRPr="00C5355C">
        <w:rPr>
          <w:bCs/>
        </w:rPr>
        <w:t>our</w:t>
      </w:r>
      <w:r w:rsidRPr="00C5355C">
        <w:t xml:space="preserve"> disadvantaged pupils</w:t>
      </w:r>
      <w:r w:rsidR="00A123E7" w:rsidRPr="00C5355C">
        <w:t xml:space="preserve">. </w:t>
      </w:r>
      <w:r w:rsidR="00EC1F27" w:rsidRPr="00C5355C">
        <w:t xml:space="preserve">These almost invariably mirror the challenges faced by our service pupils (as 100% of DPs are connected to the military thus face these issues). Some of these issues </w:t>
      </w:r>
      <w:r w:rsidR="004A2678">
        <w:t>we</w:t>
      </w:r>
      <w:r w:rsidR="00EC1F27" w:rsidRPr="00C5355C">
        <w:t>re specifically linked to COVID</w:t>
      </w:r>
      <w:r w:rsidR="000C21AD" w:rsidRPr="00C5355C">
        <w:t xml:space="preserve">, others are more endemic. </w:t>
      </w:r>
      <w:r w:rsidR="00254521">
        <w:t>COVID effects have been included as still informing some gaps.</w:t>
      </w:r>
    </w:p>
    <w:tbl>
      <w:tblPr>
        <w:tblW w:w="5000" w:type="pct"/>
        <w:tblCellMar>
          <w:left w:w="10" w:type="dxa"/>
          <w:right w:w="10" w:type="dxa"/>
        </w:tblCellMar>
        <w:tblLook w:val="04A0" w:firstRow="1" w:lastRow="0" w:firstColumn="1" w:lastColumn="0" w:noHBand="0" w:noVBand="1"/>
      </w:tblPr>
      <w:tblGrid>
        <w:gridCol w:w="1628"/>
        <w:gridCol w:w="8828"/>
      </w:tblGrid>
      <w:tr w:rsidR="006169BC" w:rsidRPr="00C5355C" w14:paraId="201E4593" w14:textId="77777777" w:rsidTr="00EC1F27">
        <w:tc>
          <w:tcPr>
            <w:tcW w:w="16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16136F93" w14:textId="77777777" w:rsidR="006169BC" w:rsidRPr="00C5355C" w:rsidRDefault="006169BC" w:rsidP="0087531D">
            <w:pPr>
              <w:pStyle w:val="TableHeader"/>
              <w:jc w:val="left"/>
              <w:rPr>
                <w:rFonts w:asciiTheme="minorHAnsi" w:hAnsiTheme="minorHAnsi"/>
                <w:sz w:val="21"/>
                <w:szCs w:val="21"/>
              </w:rPr>
            </w:pPr>
            <w:bookmarkStart w:id="11" w:name="_Hlk94611251"/>
            <w:r w:rsidRPr="00C5355C">
              <w:rPr>
                <w:rFonts w:asciiTheme="minorHAnsi" w:hAnsiTheme="minorHAnsi"/>
                <w:sz w:val="21"/>
                <w:szCs w:val="21"/>
              </w:rPr>
              <w:t>Challenge number</w:t>
            </w:r>
          </w:p>
        </w:tc>
        <w:tc>
          <w:tcPr>
            <w:tcW w:w="8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02AC1E97" w14:textId="77777777" w:rsidR="006169BC" w:rsidRPr="00C5355C" w:rsidRDefault="006169BC" w:rsidP="0087531D">
            <w:pPr>
              <w:pStyle w:val="TableHeader"/>
              <w:jc w:val="left"/>
              <w:rPr>
                <w:rFonts w:asciiTheme="minorHAnsi" w:hAnsiTheme="minorHAnsi"/>
                <w:sz w:val="21"/>
                <w:szCs w:val="21"/>
              </w:rPr>
            </w:pPr>
            <w:r w:rsidRPr="00C5355C">
              <w:rPr>
                <w:rFonts w:asciiTheme="minorHAnsi" w:hAnsiTheme="minorHAnsi"/>
                <w:sz w:val="21"/>
                <w:szCs w:val="21"/>
              </w:rPr>
              <w:t xml:space="preserve">Detail of challenge </w:t>
            </w:r>
          </w:p>
        </w:tc>
      </w:tr>
      <w:tr w:rsidR="00EC1F27" w:rsidRPr="00C5355C" w14:paraId="10494EE1" w14:textId="77777777" w:rsidTr="000C21AD">
        <w:tc>
          <w:tcPr>
            <w:tcW w:w="16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45FCD27" w14:textId="77777777" w:rsidR="00EC1F27" w:rsidRPr="00C5355C" w:rsidRDefault="000C21AD" w:rsidP="00EC1F27">
            <w:pPr>
              <w:rPr>
                <w:b/>
              </w:rPr>
            </w:pPr>
            <w:r w:rsidRPr="00C5355C">
              <w:rPr>
                <w:b/>
              </w:rPr>
              <w:t xml:space="preserve">1. </w:t>
            </w:r>
            <w:r w:rsidR="00EC1F27" w:rsidRPr="00C5355C">
              <w:rPr>
                <w:b/>
              </w:rPr>
              <w:t xml:space="preserve">Uneven profile of home learning engagement </w:t>
            </w:r>
          </w:p>
        </w:tc>
        <w:tc>
          <w:tcPr>
            <w:tcW w:w="8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4E3D37" w14:textId="77777777" w:rsidR="000C21AD" w:rsidRPr="00C5355C" w:rsidRDefault="00EC1F27" w:rsidP="00EC1F27">
            <w:r w:rsidRPr="00C5355C">
              <w:t>Whilst a full programme of home learning was offered, pupil engagement varied due to a number of factors, including availability of parents (home working, deployed / away), viability of parental support (based on their own educational background), pupils’ particular SEMH / ASD needs (</w:t>
            </w:r>
            <w:proofErr w:type="spellStart"/>
            <w:r w:rsidRPr="00C5355C">
              <w:t>dichotomistic</w:t>
            </w:r>
            <w:proofErr w:type="spellEnd"/>
            <w:r w:rsidRPr="00C5355C">
              <w:t xml:space="preserve"> approaches).</w:t>
            </w:r>
          </w:p>
          <w:p w14:paraId="168F3DFA" w14:textId="3389AA2E" w:rsidR="00EC1F27" w:rsidRPr="00C5355C" w:rsidRDefault="000C21AD" w:rsidP="00EC1F27">
            <w:r w:rsidRPr="00C5355C">
              <w:t xml:space="preserve">We observed that </w:t>
            </w:r>
            <w:r w:rsidR="0029056E" w:rsidRPr="00C5355C">
              <w:t>50</w:t>
            </w:r>
            <w:r w:rsidRPr="00C5355C">
              <w:t xml:space="preserve">% of our DPs struggled with engagement with home learning, in spite of specific additional provisions and support put in place. </w:t>
            </w:r>
            <w:r w:rsidR="000E2643">
              <w:t xml:space="preserve">Two years on, we are still feeling the effects of this ‘gap’, although evidence suggests it is closing. </w:t>
            </w:r>
          </w:p>
        </w:tc>
      </w:tr>
      <w:tr w:rsidR="00EC1F27" w:rsidRPr="00C5355C" w14:paraId="65BCC01F" w14:textId="77777777" w:rsidTr="00EC1F27">
        <w:tc>
          <w:tcPr>
            <w:tcW w:w="16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63C3E9" w14:textId="77777777" w:rsidR="00EC1F27" w:rsidRPr="00C5355C" w:rsidRDefault="000C21AD" w:rsidP="00EC1F27">
            <w:r w:rsidRPr="00C5355C">
              <w:rPr>
                <w:b/>
              </w:rPr>
              <w:t xml:space="preserve">2. </w:t>
            </w:r>
            <w:r w:rsidR="00EC1F27" w:rsidRPr="00C5355C">
              <w:rPr>
                <w:b/>
              </w:rPr>
              <w:t xml:space="preserve">Moved in pupils who have followed different curricula </w:t>
            </w:r>
          </w:p>
        </w:tc>
        <w:tc>
          <w:tcPr>
            <w:tcW w:w="8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5FA7FE" w14:textId="5CEE6AAD" w:rsidR="00EC1F27" w:rsidRPr="00C5355C" w:rsidRDefault="00EC1F27" w:rsidP="00EC1F27">
            <w:r w:rsidRPr="00C5355C">
              <w:t xml:space="preserve">This is a service linked challenge. Not only have pupils arrived from other schools and even other countries which follow different national educational frameworks, their </w:t>
            </w:r>
            <w:r w:rsidRPr="00C5355C">
              <w:rPr>
                <w:i/>
              </w:rPr>
              <w:t>experience of</w:t>
            </w:r>
            <w:r w:rsidRPr="00C5355C">
              <w:t xml:space="preserve"> those frameworks has also been hugely variable due to differences in schools’ approache</w:t>
            </w:r>
            <w:r w:rsidR="004A2678">
              <w:t>s</w:t>
            </w:r>
            <w:r w:rsidRPr="00C5355C">
              <w:t>. Thus some have had a comprehensive offer relevant to the English programmes of studies, whilst others have had a very inconsistent offer with little or no connection to their required learning now.</w:t>
            </w:r>
            <w:r w:rsidR="00C5355C">
              <w:t xml:space="preserve"> </w:t>
            </w:r>
            <w:r w:rsidR="002528BF">
              <w:t xml:space="preserve">More than </w:t>
            </w:r>
            <w:r w:rsidR="000E2643">
              <w:t>50</w:t>
            </w:r>
            <w:r w:rsidR="0029056E" w:rsidRPr="00C5355C">
              <w:t xml:space="preserve">% of our DPs </w:t>
            </w:r>
            <w:r w:rsidR="00FC2FF5">
              <w:t>are new</w:t>
            </w:r>
            <w:r w:rsidR="0029056E" w:rsidRPr="00C5355C">
              <w:t xml:space="preserve"> in the last 12 months. </w:t>
            </w:r>
          </w:p>
        </w:tc>
      </w:tr>
      <w:tr w:rsidR="00EC1F27" w:rsidRPr="00C5355C" w14:paraId="3DA40B72" w14:textId="77777777" w:rsidTr="00EC1F27">
        <w:tc>
          <w:tcPr>
            <w:tcW w:w="16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523410D" w14:textId="77777777" w:rsidR="00EC1F27" w:rsidRPr="00C5355C" w:rsidRDefault="000C21AD" w:rsidP="00EC1F27">
            <w:pPr>
              <w:rPr>
                <w:b/>
              </w:rPr>
            </w:pPr>
            <w:r w:rsidRPr="00C5355C">
              <w:rPr>
                <w:b/>
              </w:rPr>
              <w:t xml:space="preserve">3. </w:t>
            </w:r>
            <w:r w:rsidR="00EC1F27" w:rsidRPr="00C5355C">
              <w:rPr>
                <w:b/>
              </w:rPr>
              <w:t>Specific issues relating to SEND</w:t>
            </w:r>
          </w:p>
        </w:tc>
        <w:tc>
          <w:tcPr>
            <w:tcW w:w="8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48356C2" w14:textId="1B43D5DF" w:rsidR="00EC1F27" w:rsidRPr="00C5355C" w:rsidRDefault="00EC1F27" w:rsidP="00EC1F27">
            <w:r w:rsidRPr="00C5355C">
              <w:t>With 2</w:t>
            </w:r>
            <w:r w:rsidR="00FC2FF5">
              <w:t>6</w:t>
            </w:r>
            <w:r w:rsidRPr="00C5355C">
              <w:t xml:space="preserve">% SEND (above national), the school has to accommodate a wide range of additional needs. Most of these pupils, particularly those with ASD and SEMH have found the last year especially hard. These children rely on predictable routines, structure, strong relationships and sensory management. These challenges need support to be overcome and promote readiness for learning. </w:t>
            </w:r>
            <w:r w:rsidR="0029056E" w:rsidRPr="00C5355C">
              <w:t xml:space="preserve">This affects </w:t>
            </w:r>
            <w:r w:rsidR="000E2643">
              <w:t>57</w:t>
            </w:r>
            <w:r w:rsidR="0029056E" w:rsidRPr="00C5355C">
              <w:t xml:space="preserve">% of our DPs. </w:t>
            </w:r>
          </w:p>
        </w:tc>
      </w:tr>
      <w:tr w:rsidR="00EC1F27" w:rsidRPr="00C5355C" w14:paraId="6026D5CD" w14:textId="77777777" w:rsidTr="00EC1F27">
        <w:tc>
          <w:tcPr>
            <w:tcW w:w="16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957EC61" w14:textId="77777777" w:rsidR="00EC1F27" w:rsidRPr="00C5355C" w:rsidRDefault="00C5355C" w:rsidP="00EC1F27">
            <w:pPr>
              <w:rPr>
                <w:b/>
              </w:rPr>
            </w:pPr>
            <w:r w:rsidRPr="00C5355C">
              <w:rPr>
                <w:b/>
              </w:rPr>
              <w:t>4</w:t>
            </w:r>
            <w:r w:rsidR="000C21AD" w:rsidRPr="00C5355C">
              <w:rPr>
                <w:b/>
              </w:rPr>
              <w:t xml:space="preserve">. </w:t>
            </w:r>
            <w:r w:rsidR="00EC1F27" w:rsidRPr="00C5355C">
              <w:rPr>
                <w:b/>
              </w:rPr>
              <w:t>High % of ‘threshold’ learners</w:t>
            </w:r>
          </w:p>
          <w:p w14:paraId="1D142885" w14:textId="77777777" w:rsidR="00EC1F27" w:rsidRPr="00C5355C" w:rsidRDefault="00EC1F27" w:rsidP="00EC1F27">
            <w:pPr>
              <w:rPr>
                <w:b/>
              </w:rPr>
            </w:pPr>
          </w:p>
        </w:tc>
        <w:tc>
          <w:tcPr>
            <w:tcW w:w="8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96343A5" w14:textId="617D0EA6" w:rsidR="00EC1F27" w:rsidRPr="00C5355C" w:rsidRDefault="00EC1F27" w:rsidP="00EC1F27">
            <w:r w:rsidRPr="00C5355C">
              <w:t xml:space="preserve">The school has a significant proportion of children who sit on the cusp of attainment thresholds (e.g. scoring 98-101 etc.). This is largely attributable to multiple moves and educational disruption. Historically, the school has been able to ‘boost’ and consolidate learning for these groups throughout a year,  ultimately securing ARE attainment. With the impact of the pandemic, early data suggests most of these learners will be more likely to tip ‘just below’ thresholds without additional support. </w:t>
            </w:r>
            <w:r w:rsidR="0029056E" w:rsidRPr="00C5355C">
              <w:t xml:space="preserve">This affects </w:t>
            </w:r>
            <w:r w:rsidR="00926C36">
              <w:t>57</w:t>
            </w:r>
            <w:r w:rsidR="0029056E" w:rsidRPr="00C5355C">
              <w:t xml:space="preserve">% of our DPs. </w:t>
            </w:r>
          </w:p>
        </w:tc>
      </w:tr>
      <w:tr w:rsidR="00EC1F27" w:rsidRPr="00C5355C" w14:paraId="65BC58BB" w14:textId="77777777" w:rsidTr="00EC1F27">
        <w:tc>
          <w:tcPr>
            <w:tcW w:w="16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CE4F08A" w14:textId="77777777" w:rsidR="00EC1F27" w:rsidRPr="00C5355C" w:rsidRDefault="00C5355C" w:rsidP="00EC1F27">
            <w:pPr>
              <w:rPr>
                <w:b/>
              </w:rPr>
            </w:pPr>
            <w:r w:rsidRPr="00C5355C">
              <w:rPr>
                <w:b/>
              </w:rPr>
              <w:t>5</w:t>
            </w:r>
            <w:r w:rsidR="000C21AD" w:rsidRPr="00C5355C">
              <w:rPr>
                <w:b/>
              </w:rPr>
              <w:t xml:space="preserve">. </w:t>
            </w:r>
            <w:r w:rsidR="00EC1F27" w:rsidRPr="00C5355C">
              <w:rPr>
                <w:b/>
              </w:rPr>
              <w:t>Low Emotional Resilience and High Anxiety</w:t>
            </w:r>
          </w:p>
        </w:tc>
        <w:tc>
          <w:tcPr>
            <w:tcW w:w="8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5ECBA86" w14:textId="58CF3F1F" w:rsidR="00EC1F27" w:rsidRPr="00C5355C" w:rsidRDefault="00EC1F27" w:rsidP="00EC1F27">
            <w:r w:rsidRPr="00C5355C">
              <w:t xml:space="preserve">A challenge across service pupils nationally (and seen in our school) has been lower resilience and positivity scores (e.g. on Stirling Wellbeing Scale), with higher levels of anxiety. </w:t>
            </w:r>
            <w:r w:rsidR="00F61F23">
              <w:t>M</w:t>
            </w:r>
            <w:r w:rsidRPr="00C5355C">
              <w:t>any of our pupils demonstrat</w:t>
            </w:r>
            <w:r w:rsidR="00F61F23">
              <w:t>e</w:t>
            </w:r>
            <w:r w:rsidRPr="00C5355C">
              <w:t xml:space="preserve"> higher pastoral needs, stress, emotional outburst</w:t>
            </w:r>
            <w:r w:rsidR="00F61F23">
              <w:t>s</w:t>
            </w:r>
            <w:r w:rsidRPr="00C5355C">
              <w:t xml:space="preserve"> and low levels of independence and resilience. </w:t>
            </w:r>
            <w:r w:rsidR="0029056E" w:rsidRPr="00C5355C">
              <w:t xml:space="preserve">This affects </w:t>
            </w:r>
            <w:r w:rsidR="00926C36">
              <w:t>71</w:t>
            </w:r>
            <w:r w:rsidR="0029056E" w:rsidRPr="00C5355C">
              <w:t xml:space="preserve">% of our DPs. </w:t>
            </w:r>
          </w:p>
        </w:tc>
      </w:tr>
    </w:tbl>
    <w:p w14:paraId="05A4E4AA" w14:textId="77777777" w:rsidR="00C5355C" w:rsidRDefault="00C5355C" w:rsidP="006169BC">
      <w:pPr>
        <w:pStyle w:val="Heading2"/>
        <w:spacing w:before="600"/>
        <w:rPr>
          <w:rFonts w:asciiTheme="minorHAnsi" w:hAnsiTheme="minorHAnsi"/>
        </w:rPr>
      </w:pPr>
      <w:bookmarkStart w:id="12" w:name="_Toc443397160"/>
      <w:bookmarkEnd w:id="11"/>
    </w:p>
    <w:p w14:paraId="21E5025C" w14:textId="77777777" w:rsidR="00C5355C" w:rsidRDefault="00C5355C" w:rsidP="00C5355C">
      <w:pPr>
        <w:rPr>
          <w:rFonts w:eastAsiaTheme="majorEastAsia" w:cstheme="majorBidi"/>
          <w:color w:val="374C80" w:themeColor="accent1" w:themeShade="BF"/>
          <w:sz w:val="28"/>
          <w:szCs w:val="28"/>
        </w:rPr>
      </w:pPr>
      <w:r>
        <w:br w:type="page"/>
      </w:r>
    </w:p>
    <w:p w14:paraId="69984A87" w14:textId="77777777" w:rsidR="006169BC" w:rsidRPr="001F4AAE" w:rsidRDefault="006169BC" w:rsidP="006169BC">
      <w:pPr>
        <w:pStyle w:val="Heading2"/>
        <w:spacing w:before="600"/>
        <w:rPr>
          <w:rFonts w:asciiTheme="minorHAnsi" w:hAnsiTheme="minorHAnsi"/>
        </w:rPr>
      </w:pPr>
      <w:r w:rsidRPr="001F4AAE">
        <w:rPr>
          <w:rFonts w:asciiTheme="minorHAnsi" w:hAnsiTheme="minorHAnsi"/>
        </w:rPr>
        <w:lastRenderedPageBreak/>
        <w:t xml:space="preserve">Intended outcomes </w:t>
      </w:r>
    </w:p>
    <w:p w14:paraId="12700559" w14:textId="77777777" w:rsidR="006169BC" w:rsidRPr="00C5355C" w:rsidRDefault="006169BC" w:rsidP="006169BC">
      <w:r w:rsidRPr="00C5355C">
        <w:t xml:space="preserve">This explains the outcomes we are aiming for </w:t>
      </w:r>
      <w:r w:rsidRPr="00C5355C">
        <w:rPr>
          <w:b/>
          <w:bCs/>
        </w:rPr>
        <w:t>by the end of our current strategy plan</w:t>
      </w:r>
      <w:r w:rsidRPr="00C5355C">
        <w:t>, and how we will measure whether they have been achieved.</w:t>
      </w:r>
      <w:r w:rsidR="00C5355C">
        <w:t xml:space="preserve"> This has a specific focus on Disadvantaged Pupils, rather than all pupils for the purposes of accountability and closing the gap. </w:t>
      </w:r>
    </w:p>
    <w:tbl>
      <w:tblPr>
        <w:tblW w:w="5000" w:type="pct"/>
        <w:tblCellMar>
          <w:left w:w="10" w:type="dxa"/>
          <w:right w:w="10" w:type="dxa"/>
        </w:tblCellMar>
        <w:tblLook w:val="04A0" w:firstRow="1" w:lastRow="0" w:firstColumn="1" w:lastColumn="0" w:noHBand="0" w:noVBand="1"/>
      </w:tblPr>
      <w:tblGrid>
        <w:gridCol w:w="3119"/>
        <w:gridCol w:w="7337"/>
      </w:tblGrid>
      <w:tr w:rsidR="006169BC" w:rsidRPr="00A123E7" w14:paraId="3C0C154C" w14:textId="77777777" w:rsidTr="00C5355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6E89D4D0" w14:textId="77777777" w:rsidR="006169BC" w:rsidRPr="00A123E7" w:rsidRDefault="006169BC" w:rsidP="0087531D">
            <w:pPr>
              <w:pStyle w:val="TableHeader"/>
              <w:jc w:val="left"/>
              <w:rPr>
                <w:rFonts w:asciiTheme="minorHAnsi" w:hAnsiTheme="minorHAnsi"/>
                <w:sz w:val="20"/>
                <w:szCs w:val="20"/>
              </w:rPr>
            </w:pPr>
            <w:r w:rsidRPr="00A123E7">
              <w:rPr>
                <w:rFonts w:asciiTheme="minorHAnsi" w:hAnsiTheme="minorHAnsi"/>
                <w:sz w:val="20"/>
                <w:szCs w:val="20"/>
              </w:rPr>
              <w:t>Intended outcome</w:t>
            </w:r>
          </w:p>
        </w:tc>
        <w:tc>
          <w:tcPr>
            <w:tcW w:w="73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38B61338" w14:textId="77777777" w:rsidR="006169BC" w:rsidRPr="00A123E7" w:rsidRDefault="006169BC" w:rsidP="0087531D">
            <w:pPr>
              <w:pStyle w:val="TableHeader"/>
              <w:jc w:val="left"/>
              <w:rPr>
                <w:rFonts w:asciiTheme="minorHAnsi" w:hAnsiTheme="minorHAnsi"/>
                <w:sz w:val="20"/>
                <w:szCs w:val="20"/>
              </w:rPr>
            </w:pPr>
            <w:r w:rsidRPr="00A123E7">
              <w:rPr>
                <w:rFonts w:asciiTheme="minorHAnsi" w:hAnsiTheme="minorHAnsi"/>
                <w:sz w:val="20"/>
                <w:szCs w:val="20"/>
              </w:rPr>
              <w:t>Success criteria</w:t>
            </w:r>
          </w:p>
        </w:tc>
      </w:tr>
      <w:tr w:rsidR="006169BC" w:rsidRPr="00A123E7" w14:paraId="316238D8" w14:textId="77777777" w:rsidTr="00C5355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699E92A" w14:textId="77777777" w:rsidR="006169BC" w:rsidRPr="00D5367C" w:rsidRDefault="00C5355C" w:rsidP="0087531D">
            <w:pPr>
              <w:pStyle w:val="TableRow"/>
              <w:spacing w:after="120"/>
              <w:rPr>
                <w:rFonts w:asciiTheme="minorHAnsi" w:hAnsiTheme="minorHAnsi" w:cs="Arial"/>
                <w:color w:val="auto"/>
                <w:sz w:val="21"/>
                <w:szCs w:val="21"/>
              </w:rPr>
            </w:pPr>
            <w:r w:rsidRPr="00D5367C">
              <w:rPr>
                <w:rFonts w:asciiTheme="minorHAnsi" w:hAnsiTheme="minorHAnsi" w:cs="Arial"/>
                <w:color w:val="auto"/>
                <w:sz w:val="21"/>
                <w:szCs w:val="21"/>
              </w:rPr>
              <w:t>Improved Reading progress for DPs</w:t>
            </w:r>
          </w:p>
        </w:tc>
        <w:tc>
          <w:tcPr>
            <w:tcW w:w="73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992C0F5" w14:textId="468CD09A" w:rsidR="006169BC" w:rsidRPr="00D5367C" w:rsidRDefault="00C5355C" w:rsidP="0087531D">
            <w:pPr>
              <w:spacing w:before="60" w:line="240" w:lineRule="auto"/>
              <w:ind w:left="57" w:right="57"/>
              <w:rPr>
                <w:rFonts w:cs="Arial"/>
              </w:rPr>
            </w:pPr>
            <w:r w:rsidRPr="00D5367C">
              <w:rPr>
                <w:rFonts w:cs="Arial"/>
              </w:rPr>
              <w:t>By 202</w:t>
            </w:r>
            <w:r w:rsidR="00F61F23">
              <w:rPr>
                <w:rFonts w:cs="Arial"/>
              </w:rPr>
              <w:t>6</w:t>
            </w:r>
            <w:r w:rsidRPr="00D5367C">
              <w:rPr>
                <w:rFonts w:cs="Arial"/>
              </w:rPr>
              <w:t xml:space="preserve">, DPs on roll should be achieving Reading scores at statutory assessment points in line with their non-disadvantaged peers. </w:t>
            </w:r>
          </w:p>
          <w:p w14:paraId="1E014289" w14:textId="72A74E50" w:rsidR="00C5355C" w:rsidRPr="00D5367C" w:rsidRDefault="00C5355C" w:rsidP="0087531D">
            <w:pPr>
              <w:spacing w:before="60" w:line="240" w:lineRule="auto"/>
              <w:ind w:left="57" w:right="57"/>
              <w:rPr>
                <w:rFonts w:cs="Arial"/>
              </w:rPr>
            </w:pPr>
            <w:r w:rsidRPr="00D5367C">
              <w:rPr>
                <w:rFonts w:cs="Arial"/>
              </w:rPr>
              <w:t>PIRA</w:t>
            </w:r>
            <w:r w:rsidR="00926C36">
              <w:rPr>
                <w:rFonts w:cs="Arial"/>
              </w:rPr>
              <w:t>/ NTS</w:t>
            </w:r>
            <w:r w:rsidRPr="00D5367C">
              <w:rPr>
                <w:rFonts w:cs="Arial"/>
              </w:rPr>
              <w:t xml:space="preserve"> assessments should show good progress for all DPs. </w:t>
            </w:r>
            <w:r w:rsidR="00926C36">
              <w:rPr>
                <w:rFonts w:cs="Arial"/>
              </w:rPr>
              <w:t xml:space="preserve">Reading data for EY DPs should be in line with peers. </w:t>
            </w:r>
            <w:r w:rsidR="00921A85">
              <w:rPr>
                <w:rFonts w:cs="Arial"/>
              </w:rPr>
              <w:br/>
            </w:r>
          </w:p>
        </w:tc>
      </w:tr>
      <w:tr w:rsidR="00C5355C" w:rsidRPr="00A123E7" w14:paraId="7BED878F" w14:textId="77777777" w:rsidTr="00C5355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02B7D5A" w14:textId="77777777" w:rsidR="00C5355C" w:rsidRPr="00D5367C" w:rsidRDefault="00C5355C" w:rsidP="0087531D">
            <w:pPr>
              <w:pStyle w:val="TableRow"/>
              <w:spacing w:after="120"/>
              <w:rPr>
                <w:rFonts w:asciiTheme="minorHAnsi" w:hAnsiTheme="minorHAnsi" w:cs="Arial"/>
                <w:color w:val="auto"/>
                <w:sz w:val="21"/>
                <w:szCs w:val="21"/>
              </w:rPr>
            </w:pPr>
            <w:r w:rsidRPr="00D5367C">
              <w:rPr>
                <w:rFonts w:asciiTheme="minorHAnsi" w:hAnsiTheme="minorHAnsi" w:cs="Arial"/>
                <w:color w:val="auto"/>
                <w:sz w:val="21"/>
                <w:szCs w:val="21"/>
              </w:rPr>
              <w:t>Improved Writing attainment for DPs at KS2</w:t>
            </w:r>
          </w:p>
        </w:tc>
        <w:tc>
          <w:tcPr>
            <w:tcW w:w="73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F74B917" w14:textId="53FBB6EB" w:rsidR="00C5355C" w:rsidRPr="00D5367C" w:rsidRDefault="00C5355C" w:rsidP="0087531D">
            <w:pPr>
              <w:spacing w:before="60" w:line="240" w:lineRule="auto"/>
              <w:ind w:left="57" w:right="57"/>
              <w:rPr>
                <w:rFonts w:cs="Arial"/>
              </w:rPr>
            </w:pPr>
            <w:r w:rsidRPr="00D5367C">
              <w:rPr>
                <w:rFonts w:cs="Arial"/>
              </w:rPr>
              <w:t>By 202</w:t>
            </w:r>
            <w:r w:rsidR="00F61F23">
              <w:rPr>
                <w:rFonts w:cs="Arial"/>
              </w:rPr>
              <w:t>6</w:t>
            </w:r>
            <w:r w:rsidRPr="00D5367C">
              <w:rPr>
                <w:rFonts w:cs="Arial"/>
              </w:rPr>
              <w:t>, DPs should be achieving Writing outcomes in line with national ARE for all pupils</w:t>
            </w:r>
            <w:r w:rsidR="00921A85">
              <w:rPr>
                <w:rFonts w:cs="Arial"/>
              </w:rPr>
              <w:br/>
            </w:r>
          </w:p>
        </w:tc>
      </w:tr>
      <w:tr w:rsidR="00C5355C" w:rsidRPr="00A123E7" w14:paraId="3B4F52AF" w14:textId="77777777" w:rsidTr="00C5355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27681D7" w14:textId="77777777" w:rsidR="00C5355C" w:rsidRPr="00D5367C" w:rsidRDefault="00C5355C" w:rsidP="0087531D">
            <w:pPr>
              <w:pStyle w:val="TableRow"/>
              <w:spacing w:after="120"/>
              <w:rPr>
                <w:rFonts w:asciiTheme="minorHAnsi" w:hAnsiTheme="minorHAnsi" w:cs="Arial"/>
                <w:color w:val="auto"/>
                <w:sz w:val="21"/>
                <w:szCs w:val="21"/>
              </w:rPr>
            </w:pPr>
            <w:r w:rsidRPr="00D5367C">
              <w:rPr>
                <w:rFonts w:asciiTheme="minorHAnsi" w:hAnsiTheme="minorHAnsi" w:cs="Arial"/>
                <w:color w:val="auto"/>
                <w:sz w:val="21"/>
                <w:szCs w:val="21"/>
              </w:rPr>
              <w:t>DPs should be secure in Phonics by the end of Y1</w:t>
            </w:r>
          </w:p>
        </w:tc>
        <w:tc>
          <w:tcPr>
            <w:tcW w:w="73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7600FE9" w14:textId="2F97EAB4" w:rsidR="00C5355C" w:rsidRPr="00D5367C" w:rsidRDefault="00C5355C" w:rsidP="0087531D">
            <w:pPr>
              <w:spacing w:before="60" w:line="240" w:lineRule="auto"/>
              <w:ind w:left="57" w:right="57"/>
              <w:rPr>
                <w:rFonts w:cs="Arial"/>
              </w:rPr>
            </w:pPr>
            <w:r w:rsidRPr="00D5367C">
              <w:rPr>
                <w:rFonts w:cs="Arial"/>
              </w:rPr>
              <w:t>100% of DPs should meet the expectations of the Y1 phonics screening check by 202</w:t>
            </w:r>
            <w:r w:rsidR="00F61F23">
              <w:rPr>
                <w:rFonts w:cs="Arial"/>
              </w:rPr>
              <w:t>6</w:t>
            </w:r>
            <w:r w:rsidRPr="00D5367C">
              <w:rPr>
                <w:rFonts w:cs="Arial"/>
              </w:rPr>
              <w:t xml:space="preserve">, as phonics provides the foundation for future learning. </w:t>
            </w:r>
            <w:r w:rsidR="00921A85">
              <w:rPr>
                <w:rFonts w:cs="Arial"/>
              </w:rPr>
              <w:br/>
            </w:r>
          </w:p>
        </w:tc>
      </w:tr>
      <w:tr w:rsidR="00C5355C" w:rsidRPr="00A123E7" w14:paraId="25834207" w14:textId="77777777" w:rsidTr="00C5355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D23D2EC" w14:textId="77777777" w:rsidR="00C5355C" w:rsidRPr="00D5367C" w:rsidRDefault="00C5355C" w:rsidP="00C5355C">
            <w:pPr>
              <w:pStyle w:val="TableRow"/>
              <w:spacing w:after="120"/>
              <w:ind w:left="28"/>
              <w:rPr>
                <w:rFonts w:asciiTheme="minorHAnsi" w:hAnsiTheme="minorHAnsi" w:cs="Arial"/>
                <w:color w:val="auto"/>
                <w:sz w:val="21"/>
                <w:szCs w:val="21"/>
              </w:rPr>
            </w:pPr>
            <w:r w:rsidRPr="00D5367C">
              <w:rPr>
                <w:rFonts w:asciiTheme="minorHAnsi" w:hAnsiTheme="minorHAnsi" w:cs="Arial"/>
                <w:color w:val="auto"/>
                <w:sz w:val="21"/>
                <w:szCs w:val="21"/>
              </w:rPr>
              <w:t xml:space="preserve">Improved maths attainment for disadvantaged pupils at the end of KS2. </w:t>
            </w:r>
          </w:p>
        </w:tc>
        <w:tc>
          <w:tcPr>
            <w:tcW w:w="73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25F8F4A" w14:textId="009A3D80" w:rsidR="00C5355C" w:rsidRPr="00D5367C" w:rsidRDefault="00C5355C" w:rsidP="00C5355C">
            <w:pPr>
              <w:pStyle w:val="TableRowCentered"/>
              <w:spacing w:after="120"/>
              <w:jc w:val="left"/>
              <w:rPr>
                <w:rFonts w:asciiTheme="minorHAnsi" w:hAnsiTheme="minorHAnsi" w:cs="Arial"/>
                <w:color w:val="auto"/>
                <w:sz w:val="21"/>
                <w:szCs w:val="21"/>
                <w:lang w:eastAsia="en-US"/>
              </w:rPr>
            </w:pPr>
            <w:r w:rsidRPr="00D5367C">
              <w:rPr>
                <w:rFonts w:asciiTheme="minorHAnsi" w:hAnsiTheme="minorHAnsi" w:cs="Arial"/>
                <w:color w:val="auto"/>
                <w:sz w:val="21"/>
                <w:szCs w:val="21"/>
              </w:rPr>
              <w:t>KS2</w:t>
            </w:r>
            <w:r w:rsidRPr="00D5367C">
              <w:rPr>
                <w:rFonts w:asciiTheme="minorHAnsi" w:hAnsiTheme="minorHAnsi" w:cs="Arial"/>
                <w:color w:val="auto"/>
                <w:sz w:val="21"/>
                <w:szCs w:val="21"/>
                <w:lang w:eastAsia="en-US"/>
              </w:rPr>
              <w:t xml:space="preserve"> maths outcomes in 202</w:t>
            </w:r>
            <w:r w:rsidR="00F61F23">
              <w:rPr>
                <w:rFonts w:asciiTheme="minorHAnsi" w:hAnsiTheme="minorHAnsi" w:cs="Arial"/>
                <w:color w:val="auto"/>
                <w:sz w:val="21"/>
                <w:szCs w:val="21"/>
                <w:lang w:eastAsia="en-US"/>
              </w:rPr>
              <w:t>5</w:t>
            </w:r>
            <w:r w:rsidRPr="00D5367C">
              <w:rPr>
                <w:rFonts w:asciiTheme="minorHAnsi" w:hAnsiTheme="minorHAnsi" w:cs="Arial"/>
                <w:color w:val="auto"/>
                <w:sz w:val="21"/>
                <w:szCs w:val="21"/>
                <w:lang w:eastAsia="en-US"/>
              </w:rPr>
              <w:t>/2</w:t>
            </w:r>
            <w:r w:rsidR="00F61F23">
              <w:rPr>
                <w:rFonts w:asciiTheme="minorHAnsi" w:hAnsiTheme="minorHAnsi" w:cs="Arial"/>
                <w:color w:val="auto"/>
                <w:sz w:val="21"/>
                <w:szCs w:val="21"/>
                <w:lang w:eastAsia="en-US"/>
              </w:rPr>
              <w:t>6</w:t>
            </w:r>
            <w:r w:rsidRPr="00D5367C">
              <w:rPr>
                <w:rFonts w:asciiTheme="minorHAnsi" w:hAnsiTheme="minorHAnsi" w:cs="Arial"/>
                <w:color w:val="auto"/>
                <w:sz w:val="21"/>
                <w:szCs w:val="21"/>
                <w:lang w:eastAsia="en-US"/>
              </w:rPr>
              <w:t xml:space="preserve"> show that </w:t>
            </w:r>
            <w:r w:rsidRPr="00D5367C">
              <w:rPr>
                <w:rStyle w:val="CommentReference"/>
                <w:rFonts w:asciiTheme="minorHAnsi" w:hAnsiTheme="minorHAnsi"/>
                <w:color w:val="auto"/>
                <w:sz w:val="21"/>
                <w:szCs w:val="21"/>
              </w:rPr>
              <w:t>more than 80% of disadvantaged pupils met the expected standard.</w:t>
            </w:r>
          </w:p>
          <w:p w14:paraId="7708BE8E" w14:textId="77777777" w:rsidR="00C5355C" w:rsidRPr="00D5367C" w:rsidRDefault="00C5355C" w:rsidP="00C5355C">
            <w:pPr>
              <w:pStyle w:val="TableRowCentered"/>
              <w:ind w:left="0"/>
              <w:jc w:val="left"/>
              <w:rPr>
                <w:rFonts w:asciiTheme="minorHAnsi" w:hAnsiTheme="minorHAnsi" w:cs="Arial"/>
                <w:color w:val="auto"/>
                <w:sz w:val="21"/>
                <w:szCs w:val="21"/>
                <w:lang w:eastAsia="en-US"/>
              </w:rPr>
            </w:pPr>
          </w:p>
        </w:tc>
      </w:tr>
      <w:tr w:rsidR="00C5355C" w:rsidRPr="00A123E7" w14:paraId="7BDE6E88" w14:textId="77777777" w:rsidTr="00C5355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788C482" w14:textId="77777777" w:rsidR="00C5355C" w:rsidRPr="00D5367C" w:rsidRDefault="005A5011" w:rsidP="00C5355C">
            <w:pPr>
              <w:spacing w:before="60" w:line="240" w:lineRule="auto"/>
              <w:ind w:left="29"/>
              <w:rPr>
                <w:rFonts w:cs="Arial"/>
              </w:rPr>
            </w:pPr>
            <w:r w:rsidRPr="00D5367C">
              <w:rPr>
                <w:rFonts w:cs="Arial"/>
              </w:rPr>
              <w:t xml:space="preserve">All vulnerable pupils, particularly DPs, have improved levels of wellbeing and mental health </w:t>
            </w:r>
          </w:p>
        </w:tc>
        <w:tc>
          <w:tcPr>
            <w:tcW w:w="73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4E79163" w14:textId="56A995F0" w:rsidR="00C5355C" w:rsidRPr="00D5367C" w:rsidRDefault="00C5355C" w:rsidP="00C5355C">
            <w:pPr>
              <w:spacing w:before="60" w:after="60" w:line="240" w:lineRule="auto"/>
              <w:ind w:left="34" w:right="57"/>
              <w:rPr>
                <w:rFonts w:cs="Arial"/>
              </w:rPr>
            </w:pPr>
            <w:r w:rsidRPr="00D5367C">
              <w:rPr>
                <w:rFonts w:cs="Arial"/>
              </w:rPr>
              <w:t>Sustained high levels of wellbeing from 202</w:t>
            </w:r>
            <w:r w:rsidR="00F61F23">
              <w:rPr>
                <w:rFonts w:cs="Arial"/>
              </w:rPr>
              <w:t>5</w:t>
            </w:r>
            <w:r w:rsidRPr="00D5367C">
              <w:rPr>
                <w:rFonts w:cs="Arial"/>
              </w:rPr>
              <w:t>/2</w:t>
            </w:r>
            <w:r w:rsidR="00F61F23">
              <w:rPr>
                <w:rFonts w:cs="Arial"/>
              </w:rPr>
              <w:t>6</w:t>
            </w:r>
            <w:r w:rsidRPr="00D5367C">
              <w:rPr>
                <w:rFonts w:cs="Arial"/>
              </w:rPr>
              <w:t xml:space="preserve"> demonstrated by:</w:t>
            </w:r>
          </w:p>
          <w:p w14:paraId="12C1347F" w14:textId="77777777" w:rsidR="005A5011" w:rsidRPr="00D5367C" w:rsidRDefault="005A5011" w:rsidP="00930608">
            <w:pPr>
              <w:pStyle w:val="ListParagraph"/>
              <w:numPr>
                <w:ilvl w:val="0"/>
                <w:numId w:val="11"/>
              </w:numPr>
              <w:spacing w:line="240" w:lineRule="auto"/>
              <w:ind w:right="57"/>
              <w:contextualSpacing w:val="0"/>
              <w:rPr>
                <w:rFonts w:cs="Arial"/>
              </w:rPr>
            </w:pPr>
            <w:r w:rsidRPr="00D5367C">
              <w:rPr>
                <w:rFonts w:cs="Arial"/>
              </w:rPr>
              <w:t xml:space="preserve">GUINY survey outcomes </w:t>
            </w:r>
            <w:r w:rsidR="00F37C33" w:rsidRPr="00D5367C">
              <w:rPr>
                <w:rFonts w:cs="Arial"/>
              </w:rPr>
              <w:t>suggesting</w:t>
            </w:r>
            <w:r w:rsidRPr="00D5367C">
              <w:rPr>
                <w:rFonts w:cs="Arial"/>
              </w:rPr>
              <w:t xml:space="preserve"> improvements in wellbeing indicators </w:t>
            </w:r>
          </w:p>
          <w:p w14:paraId="1907A216" w14:textId="77777777" w:rsidR="00C5355C" w:rsidRPr="00D5367C" w:rsidRDefault="00C5355C" w:rsidP="00930608">
            <w:pPr>
              <w:pStyle w:val="ListParagraph"/>
              <w:numPr>
                <w:ilvl w:val="0"/>
                <w:numId w:val="11"/>
              </w:numPr>
              <w:spacing w:line="240" w:lineRule="auto"/>
              <w:ind w:right="57"/>
              <w:contextualSpacing w:val="0"/>
              <w:rPr>
                <w:rFonts w:cs="Arial"/>
              </w:rPr>
            </w:pPr>
            <w:r w:rsidRPr="00D5367C">
              <w:rPr>
                <w:rFonts w:cs="Arial"/>
              </w:rPr>
              <w:t xml:space="preserve">qualitative data from </w:t>
            </w:r>
            <w:r w:rsidR="005A5011" w:rsidRPr="00D5367C">
              <w:rPr>
                <w:rFonts w:cs="Arial"/>
              </w:rPr>
              <w:t>pupil</w:t>
            </w:r>
            <w:r w:rsidRPr="00D5367C">
              <w:rPr>
                <w:rFonts w:cs="Arial"/>
              </w:rPr>
              <w:t xml:space="preserve"> voice, </w:t>
            </w:r>
            <w:r w:rsidR="005A5011" w:rsidRPr="00D5367C">
              <w:rPr>
                <w:rFonts w:cs="Arial"/>
              </w:rPr>
              <w:t xml:space="preserve">IPM / SEND reviews, </w:t>
            </w:r>
            <w:r w:rsidRPr="00D5367C">
              <w:rPr>
                <w:rFonts w:cs="Arial"/>
              </w:rPr>
              <w:t>student and parent surveys and observations</w:t>
            </w:r>
          </w:p>
          <w:p w14:paraId="54E1F770" w14:textId="77777777" w:rsidR="00C5355C" w:rsidRPr="00D5367C" w:rsidRDefault="00C5355C" w:rsidP="00930608">
            <w:pPr>
              <w:pStyle w:val="ListParagraph"/>
              <w:numPr>
                <w:ilvl w:val="0"/>
                <w:numId w:val="11"/>
              </w:numPr>
              <w:spacing w:line="240" w:lineRule="auto"/>
              <w:ind w:right="57"/>
              <w:contextualSpacing w:val="0"/>
              <w:rPr>
                <w:rFonts w:cs="Arial"/>
              </w:rPr>
            </w:pPr>
            <w:r w:rsidRPr="00D5367C">
              <w:rPr>
                <w:rFonts w:cs="Arial"/>
              </w:rPr>
              <w:t>a</w:t>
            </w:r>
            <w:r w:rsidR="005A5011" w:rsidRPr="00D5367C">
              <w:rPr>
                <w:rFonts w:cs="Arial"/>
              </w:rPr>
              <w:t>n</w:t>
            </w:r>
            <w:r w:rsidRPr="00D5367C">
              <w:rPr>
                <w:rFonts w:cs="Arial"/>
              </w:rPr>
              <w:t xml:space="preserve"> increase in participation in enrichment activities, particularly among </w:t>
            </w:r>
            <w:r w:rsidR="005A5011" w:rsidRPr="00D5367C">
              <w:rPr>
                <w:rFonts w:cs="Arial"/>
              </w:rPr>
              <w:t xml:space="preserve">DPs </w:t>
            </w:r>
            <w:r w:rsidR="00921A85">
              <w:rPr>
                <w:rFonts w:cs="Arial"/>
              </w:rPr>
              <w:br/>
            </w:r>
          </w:p>
        </w:tc>
      </w:tr>
      <w:tr w:rsidR="00C5355C" w:rsidRPr="00A123E7" w14:paraId="51898522" w14:textId="77777777" w:rsidTr="00C5355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F43585C" w14:textId="659C9E96" w:rsidR="00C5355C" w:rsidRPr="00D5367C" w:rsidRDefault="005A5011" w:rsidP="00C5355C">
            <w:pPr>
              <w:pStyle w:val="TableRow"/>
              <w:ind w:left="29"/>
              <w:rPr>
                <w:rFonts w:asciiTheme="minorHAnsi" w:hAnsiTheme="minorHAnsi" w:cs="Arial"/>
                <w:color w:val="auto"/>
                <w:sz w:val="21"/>
                <w:szCs w:val="21"/>
              </w:rPr>
            </w:pPr>
            <w:r w:rsidRPr="00D5367C">
              <w:rPr>
                <w:rFonts w:asciiTheme="minorHAnsi" w:hAnsiTheme="minorHAnsi" w:cs="Arial"/>
                <w:color w:val="auto"/>
                <w:sz w:val="21"/>
                <w:szCs w:val="21"/>
              </w:rPr>
              <w:t xml:space="preserve">Address the impact of school absences </w:t>
            </w:r>
          </w:p>
        </w:tc>
        <w:tc>
          <w:tcPr>
            <w:tcW w:w="73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5A18C1F" w14:textId="1046AE7B" w:rsidR="00C5355C" w:rsidRPr="00D5367C" w:rsidRDefault="005A5011" w:rsidP="005A5011">
            <w:pPr>
              <w:pStyle w:val="ListParagraph"/>
              <w:numPr>
                <w:ilvl w:val="0"/>
                <w:numId w:val="0"/>
              </w:numPr>
              <w:spacing w:before="60" w:after="120" w:line="240" w:lineRule="auto"/>
              <w:ind w:right="57"/>
              <w:contextualSpacing w:val="0"/>
              <w:rPr>
                <w:rFonts w:cs="Arial"/>
              </w:rPr>
            </w:pPr>
            <w:r w:rsidRPr="00D5367C">
              <w:rPr>
                <w:rFonts w:cs="Arial"/>
              </w:rPr>
              <w:t>Sustain attendance above national average for all pupils, and DPs</w:t>
            </w:r>
            <w:r w:rsidR="00926C36">
              <w:rPr>
                <w:rFonts w:cs="Arial"/>
              </w:rPr>
              <w:t>, when adjusted for military absence</w:t>
            </w:r>
            <w:r w:rsidRPr="00D5367C">
              <w:rPr>
                <w:rFonts w:cs="Arial"/>
              </w:rPr>
              <w:t>. Additionally, promote DP engagement with school through enhanced provision to maintain attendance levels above non-DP peers</w:t>
            </w:r>
            <w:r w:rsidR="00F37C33" w:rsidRPr="00D5367C">
              <w:rPr>
                <w:rFonts w:cs="Arial"/>
              </w:rPr>
              <w:t xml:space="preserve">, and continue support in the event of isolation or other absence. </w:t>
            </w:r>
            <w:r w:rsidR="00921A85">
              <w:rPr>
                <w:rFonts w:cs="Arial"/>
              </w:rPr>
              <w:br/>
            </w:r>
          </w:p>
        </w:tc>
      </w:tr>
      <w:tr w:rsidR="005A5011" w:rsidRPr="00A123E7" w14:paraId="45B214DC" w14:textId="77777777" w:rsidTr="00C5355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3C55D91" w14:textId="77777777" w:rsidR="005A5011" w:rsidRPr="00D5367C" w:rsidRDefault="005A5011" w:rsidP="00C5355C">
            <w:pPr>
              <w:pStyle w:val="TableRow"/>
              <w:ind w:left="29"/>
              <w:rPr>
                <w:rFonts w:asciiTheme="minorHAnsi" w:hAnsiTheme="minorHAnsi" w:cs="Arial"/>
                <w:color w:val="auto"/>
                <w:sz w:val="21"/>
                <w:szCs w:val="21"/>
              </w:rPr>
            </w:pPr>
            <w:r w:rsidRPr="00D5367C">
              <w:rPr>
                <w:rFonts w:asciiTheme="minorHAnsi" w:hAnsiTheme="minorHAnsi" w:cs="Arial"/>
                <w:color w:val="auto"/>
                <w:sz w:val="21"/>
                <w:szCs w:val="21"/>
              </w:rPr>
              <w:t>Ensure curriculum provision sufficiently mitigates gaps in education through threshold concepts</w:t>
            </w:r>
          </w:p>
        </w:tc>
        <w:tc>
          <w:tcPr>
            <w:tcW w:w="73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5A352F3" w14:textId="1D4AC451" w:rsidR="005A5011" w:rsidRPr="00D5367C" w:rsidRDefault="005A5011" w:rsidP="005A5011">
            <w:pPr>
              <w:pStyle w:val="ListParagraph"/>
              <w:numPr>
                <w:ilvl w:val="0"/>
                <w:numId w:val="0"/>
              </w:numPr>
              <w:spacing w:before="60" w:after="120" w:line="240" w:lineRule="auto"/>
              <w:ind w:right="57"/>
              <w:contextualSpacing w:val="0"/>
              <w:rPr>
                <w:rFonts w:cs="Arial"/>
              </w:rPr>
            </w:pPr>
            <w:r w:rsidRPr="00D5367C">
              <w:rPr>
                <w:rFonts w:cs="Arial"/>
              </w:rPr>
              <w:t>By 202</w:t>
            </w:r>
            <w:r w:rsidR="002B44AF">
              <w:rPr>
                <w:rFonts w:cs="Arial"/>
              </w:rPr>
              <w:t>6</w:t>
            </w:r>
            <w:r w:rsidRPr="00D5367C">
              <w:rPr>
                <w:rFonts w:cs="Arial"/>
              </w:rPr>
              <w:t xml:space="preserve">, curriculum </w:t>
            </w:r>
            <w:r w:rsidR="002B44AF">
              <w:rPr>
                <w:rFonts w:cs="Arial"/>
              </w:rPr>
              <w:t xml:space="preserve">implementation </w:t>
            </w:r>
            <w:r w:rsidRPr="00D5367C">
              <w:rPr>
                <w:rFonts w:cs="Arial"/>
              </w:rPr>
              <w:t xml:space="preserve">review completed which identifies core threshold concepts with opportunities for </w:t>
            </w:r>
            <w:proofErr w:type="spellStart"/>
            <w:r w:rsidRPr="00D5367C">
              <w:rPr>
                <w:rFonts w:cs="Arial"/>
              </w:rPr>
              <w:t>AfL</w:t>
            </w:r>
            <w:proofErr w:type="spellEnd"/>
            <w:r w:rsidRPr="00D5367C">
              <w:rPr>
                <w:rFonts w:cs="Arial"/>
              </w:rPr>
              <w:t xml:space="preserve"> throughout, supporting pupils who are moved in, including DPs, to rapidly close gaps. </w:t>
            </w:r>
            <w:r w:rsidR="00921A85">
              <w:rPr>
                <w:rFonts w:cs="Arial"/>
              </w:rPr>
              <w:br/>
            </w:r>
            <w:r w:rsidR="00921A85">
              <w:rPr>
                <w:rFonts w:cs="Arial"/>
              </w:rPr>
              <w:br/>
            </w:r>
          </w:p>
        </w:tc>
      </w:tr>
    </w:tbl>
    <w:p w14:paraId="5BD71AEE" w14:textId="77777777" w:rsidR="006169BC" w:rsidRPr="001F4AAE" w:rsidRDefault="006169BC" w:rsidP="006169BC">
      <w:pPr>
        <w:spacing w:after="0" w:line="240" w:lineRule="auto"/>
        <w:rPr>
          <w:b/>
          <w:color w:val="104F75"/>
          <w:sz w:val="32"/>
          <w:szCs w:val="32"/>
        </w:rPr>
      </w:pPr>
      <w:r w:rsidRPr="001F4AAE">
        <w:br w:type="page"/>
      </w:r>
    </w:p>
    <w:p w14:paraId="66310296" w14:textId="77777777" w:rsidR="006169BC" w:rsidRPr="001F4AAE" w:rsidRDefault="006169BC" w:rsidP="006169BC">
      <w:pPr>
        <w:pStyle w:val="Heading2"/>
        <w:rPr>
          <w:rFonts w:asciiTheme="minorHAnsi" w:hAnsiTheme="minorHAnsi"/>
        </w:rPr>
      </w:pPr>
      <w:r w:rsidRPr="001F4AAE">
        <w:rPr>
          <w:rFonts w:asciiTheme="minorHAnsi" w:hAnsiTheme="minorHAnsi"/>
        </w:rPr>
        <w:lastRenderedPageBreak/>
        <w:t>Activity in this academic year</w:t>
      </w:r>
    </w:p>
    <w:p w14:paraId="013D2470" w14:textId="77777777" w:rsidR="006169BC" w:rsidRPr="00A123E7" w:rsidRDefault="006169BC" w:rsidP="00A123E7">
      <w:pPr>
        <w:spacing w:after="0"/>
        <w:rPr>
          <w:sz w:val="20"/>
        </w:rPr>
      </w:pPr>
      <w:r w:rsidRPr="00A123E7">
        <w:rPr>
          <w:sz w:val="20"/>
        </w:rPr>
        <w:t xml:space="preserve">This details how we intend to spend our pupil premium (and recovery premium funding) </w:t>
      </w:r>
      <w:r w:rsidRPr="00A123E7">
        <w:rPr>
          <w:b/>
          <w:bCs/>
          <w:sz w:val="20"/>
        </w:rPr>
        <w:t>this academic year</w:t>
      </w:r>
      <w:r w:rsidRPr="00A123E7">
        <w:rPr>
          <w:sz w:val="20"/>
        </w:rPr>
        <w:t xml:space="preserve"> to address the challenges listed above.</w:t>
      </w:r>
    </w:p>
    <w:p w14:paraId="21AB9E67" w14:textId="77777777" w:rsidR="006169BC" w:rsidRPr="001F4AAE" w:rsidRDefault="006169BC" w:rsidP="00A123E7">
      <w:pPr>
        <w:pStyle w:val="Heading3"/>
        <w:rPr>
          <w:rFonts w:asciiTheme="minorHAnsi" w:hAnsiTheme="minorHAnsi"/>
        </w:rPr>
      </w:pPr>
      <w:r w:rsidRPr="001F4AAE">
        <w:rPr>
          <w:rFonts w:asciiTheme="minorHAnsi" w:hAnsiTheme="minorHAnsi"/>
        </w:rPr>
        <w:t>Teaching (for example, CPD, recruitment and retention)</w:t>
      </w:r>
    </w:p>
    <w:p w14:paraId="4FE8945C" w14:textId="282F4DD8" w:rsidR="006169BC" w:rsidRPr="00921A85" w:rsidRDefault="00846A99" w:rsidP="006169BC">
      <w:pPr>
        <w:rPr>
          <w:color w:val="0070C0"/>
          <w:sz w:val="20"/>
          <w:szCs w:val="20"/>
        </w:rPr>
      </w:pPr>
      <w:r w:rsidRPr="00846A99">
        <w:rPr>
          <w:sz w:val="20"/>
        </w:rPr>
        <w:t>Budgeted cost</w:t>
      </w:r>
      <w:r>
        <w:rPr>
          <w:sz w:val="20"/>
        </w:rPr>
        <w:t xml:space="preserve"> from Pupil Premium / Recovery Premium</w:t>
      </w:r>
      <w:r w:rsidR="006169BC" w:rsidRPr="00846A99">
        <w:rPr>
          <w:sz w:val="20"/>
          <w:szCs w:val="20"/>
        </w:rPr>
        <w:t xml:space="preserve">: </w:t>
      </w:r>
      <w:r w:rsidR="006169BC" w:rsidRPr="00846A99">
        <w:rPr>
          <w:b/>
          <w:bCs/>
          <w:sz w:val="20"/>
          <w:szCs w:val="20"/>
        </w:rPr>
        <w:t>£</w:t>
      </w:r>
      <w:r w:rsidR="00AD52FE">
        <w:rPr>
          <w:b/>
          <w:bCs/>
          <w:sz w:val="20"/>
          <w:szCs w:val="20"/>
        </w:rPr>
        <w:t>10</w:t>
      </w:r>
      <w:r>
        <w:rPr>
          <w:b/>
          <w:bCs/>
          <w:sz w:val="20"/>
          <w:szCs w:val="20"/>
        </w:rPr>
        <w:t>,</w:t>
      </w:r>
      <w:r w:rsidR="00AD52FE">
        <w:rPr>
          <w:b/>
          <w:bCs/>
          <w:sz w:val="20"/>
          <w:szCs w:val="20"/>
        </w:rPr>
        <w:t>56</w:t>
      </w:r>
      <w:r>
        <w:rPr>
          <w:b/>
          <w:bCs/>
          <w:sz w:val="20"/>
          <w:szCs w:val="20"/>
        </w:rPr>
        <w:t>2</w:t>
      </w:r>
    </w:p>
    <w:tbl>
      <w:tblPr>
        <w:tblW w:w="5000" w:type="pct"/>
        <w:tblLayout w:type="fixed"/>
        <w:tblCellMar>
          <w:left w:w="10" w:type="dxa"/>
          <w:right w:w="10" w:type="dxa"/>
        </w:tblCellMar>
        <w:tblLook w:val="04A0" w:firstRow="1" w:lastRow="0" w:firstColumn="1" w:lastColumn="0" w:noHBand="0" w:noVBand="1"/>
      </w:tblPr>
      <w:tblGrid>
        <w:gridCol w:w="3114"/>
        <w:gridCol w:w="5812"/>
        <w:gridCol w:w="1530"/>
      </w:tblGrid>
      <w:tr w:rsidR="006169BC" w:rsidRPr="00921A85" w14:paraId="5AE6382E" w14:textId="77777777" w:rsidTr="00D5367C">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8906294" w14:textId="77777777" w:rsidR="006169BC" w:rsidRPr="00921A85" w:rsidRDefault="006169BC" w:rsidP="0087531D">
            <w:pPr>
              <w:pStyle w:val="TableHeader"/>
              <w:jc w:val="left"/>
              <w:rPr>
                <w:rFonts w:asciiTheme="minorHAnsi" w:hAnsiTheme="minorHAnsi"/>
                <w:sz w:val="20"/>
                <w:szCs w:val="20"/>
              </w:rPr>
            </w:pPr>
            <w:r w:rsidRPr="00921A85">
              <w:rPr>
                <w:rFonts w:asciiTheme="minorHAnsi" w:hAnsiTheme="minorHAnsi"/>
                <w:sz w:val="20"/>
                <w:szCs w:val="20"/>
              </w:rPr>
              <w:t>Activity</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46229F22" w14:textId="77777777" w:rsidR="006169BC" w:rsidRPr="00921A85" w:rsidRDefault="006169BC" w:rsidP="0087531D">
            <w:pPr>
              <w:pStyle w:val="TableHeader"/>
              <w:jc w:val="left"/>
              <w:rPr>
                <w:rFonts w:asciiTheme="minorHAnsi" w:hAnsiTheme="minorHAnsi"/>
                <w:sz w:val="20"/>
                <w:szCs w:val="20"/>
              </w:rPr>
            </w:pPr>
            <w:r w:rsidRPr="00921A85">
              <w:rPr>
                <w:rFonts w:asciiTheme="minorHAnsi" w:hAnsiTheme="minorHAnsi"/>
                <w:sz w:val="20"/>
                <w:szCs w:val="20"/>
              </w:rPr>
              <w:t>Evidence that supports this approach</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393FAD40" w14:textId="77777777" w:rsidR="006169BC" w:rsidRPr="00921A85" w:rsidRDefault="006169BC" w:rsidP="0087531D">
            <w:pPr>
              <w:pStyle w:val="TableHeader"/>
              <w:jc w:val="left"/>
              <w:rPr>
                <w:rFonts w:asciiTheme="minorHAnsi" w:hAnsiTheme="minorHAnsi"/>
                <w:sz w:val="20"/>
                <w:szCs w:val="20"/>
              </w:rPr>
            </w:pPr>
            <w:r w:rsidRPr="00921A85">
              <w:rPr>
                <w:rFonts w:asciiTheme="minorHAnsi" w:hAnsiTheme="minorHAnsi"/>
                <w:sz w:val="20"/>
                <w:szCs w:val="20"/>
              </w:rPr>
              <w:t>Challenge</w:t>
            </w:r>
            <w:r w:rsidR="00D5367C" w:rsidRPr="00921A85">
              <w:rPr>
                <w:rFonts w:asciiTheme="minorHAnsi" w:hAnsiTheme="minorHAnsi"/>
                <w:sz w:val="20"/>
                <w:szCs w:val="20"/>
              </w:rPr>
              <w:t>s</w:t>
            </w:r>
            <w:r w:rsidRPr="00921A85">
              <w:rPr>
                <w:rFonts w:asciiTheme="minorHAnsi" w:hAnsiTheme="minorHAnsi"/>
                <w:sz w:val="20"/>
                <w:szCs w:val="20"/>
              </w:rPr>
              <w:t xml:space="preserve"> addressed</w:t>
            </w:r>
          </w:p>
        </w:tc>
      </w:tr>
      <w:tr w:rsidR="00F37C33" w:rsidRPr="00921A85" w14:paraId="105FB61E" w14:textId="77777777" w:rsidTr="00D5367C">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D0624F0" w14:textId="6FDB4C3B" w:rsidR="00F37C33" w:rsidRPr="00921A85" w:rsidRDefault="00F37C33" w:rsidP="00F37C33">
            <w:pPr>
              <w:rPr>
                <w:sz w:val="20"/>
                <w:szCs w:val="20"/>
              </w:rPr>
            </w:pPr>
            <w:r w:rsidRPr="00921A85">
              <w:rPr>
                <w:sz w:val="20"/>
                <w:szCs w:val="20"/>
              </w:rPr>
              <w:t xml:space="preserve">Maintenance of </w:t>
            </w:r>
            <w:r w:rsidR="00926C36">
              <w:rPr>
                <w:sz w:val="20"/>
                <w:szCs w:val="20"/>
              </w:rPr>
              <w:t xml:space="preserve">7 class structure to ensure high levels of Teacher: Pupil contact </w:t>
            </w:r>
            <w:r w:rsidRPr="00921A85">
              <w:rPr>
                <w:sz w:val="20"/>
                <w:szCs w:val="20"/>
              </w:rPr>
              <w:t xml:space="preserve"> </w:t>
            </w:r>
            <w:r w:rsidRPr="00921A85">
              <w:rPr>
                <w:sz w:val="20"/>
                <w:szCs w:val="20"/>
              </w:rPr>
              <w:br/>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C3D80F" w14:textId="77777777" w:rsidR="00F37C33" w:rsidRPr="00921A85" w:rsidRDefault="00F37C33" w:rsidP="00F37C33">
            <w:pPr>
              <w:numPr>
                <w:ilvl w:val="0"/>
                <w:numId w:val="12"/>
              </w:numPr>
              <w:spacing w:after="0" w:line="240" w:lineRule="auto"/>
              <w:rPr>
                <w:sz w:val="20"/>
                <w:szCs w:val="20"/>
              </w:rPr>
            </w:pPr>
            <w:r w:rsidRPr="00921A85">
              <w:rPr>
                <w:sz w:val="20"/>
                <w:szCs w:val="20"/>
              </w:rPr>
              <w:t>EEF toolkit – potential  +3 months gain</w:t>
            </w:r>
          </w:p>
          <w:p w14:paraId="1744C597" w14:textId="77777777" w:rsidR="00F37C33" w:rsidRPr="00921A85" w:rsidRDefault="00F37C33" w:rsidP="00F37C33">
            <w:pPr>
              <w:numPr>
                <w:ilvl w:val="0"/>
                <w:numId w:val="12"/>
              </w:numPr>
              <w:spacing w:after="0" w:line="240" w:lineRule="auto"/>
              <w:rPr>
                <w:sz w:val="20"/>
                <w:szCs w:val="20"/>
              </w:rPr>
            </w:pPr>
            <w:r w:rsidRPr="00921A85">
              <w:rPr>
                <w:sz w:val="20"/>
                <w:szCs w:val="20"/>
              </w:rPr>
              <w:t>Opportunity for tailored provision targeting input according to gaps</w:t>
            </w:r>
          </w:p>
          <w:p w14:paraId="445CFB5C" w14:textId="77777777" w:rsidR="00F37C33" w:rsidRPr="00921A85" w:rsidRDefault="00F37C33" w:rsidP="00F37C33">
            <w:pPr>
              <w:numPr>
                <w:ilvl w:val="0"/>
                <w:numId w:val="12"/>
              </w:numPr>
              <w:spacing w:after="0" w:line="240" w:lineRule="auto"/>
              <w:rPr>
                <w:sz w:val="20"/>
                <w:szCs w:val="20"/>
              </w:rPr>
            </w:pPr>
            <w:r w:rsidRPr="00921A85">
              <w:rPr>
                <w:sz w:val="20"/>
                <w:szCs w:val="20"/>
              </w:rPr>
              <w:t xml:space="preserve">Flexible grouping “allows teachers to set up opportunities for collaborative learning – which research indicates can be effective in supporting pupils” (EEF </w:t>
            </w:r>
            <w:proofErr w:type="spellStart"/>
            <w:r w:rsidRPr="00921A85">
              <w:rPr>
                <w:sz w:val="20"/>
                <w:szCs w:val="20"/>
              </w:rPr>
              <w:t>GtSSP</w:t>
            </w:r>
            <w:proofErr w:type="spellEnd"/>
            <w:r w:rsidRPr="00921A85">
              <w:rPr>
                <w:sz w:val="20"/>
                <w:szCs w:val="20"/>
              </w:rPr>
              <w:t>, p9)</w:t>
            </w:r>
          </w:p>
          <w:p w14:paraId="3E23D988" w14:textId="77777777" w:rsidR="00F37C33" w:rsidRPr="00921A85" w:rsidRDefault="00F37C33" w:rsidP="00F37C33">
            <w:pPr>
              <w:numPr>
                <w:ilvl w:val="0"/>
                <w:numId w:val="12"/>
              </w:numPr>
              <w:spacing w:after="0" w:line="240" w:lineRule="auto"/>
              <w:rPr>
                <w:sz w:val="20"/>
                <w:szCs w:val="20"/>
              </w:rPr>
            </w:pPr>
            <w:r w:rsidRPr="00921A85">
              <w:rPr>
                <w:sz w:val="20"/>
                <w:szCs w:val="20"/>
              </w:rPr>
              <w:t>Enhanced teacher time provides greater specificity for assessing needs</w:t>
            </w:r>
          </w:p>
          <w:p w14:paraId="005CF979" w14:textId="77777777" w:rsidR="00F37C33" w:rsidRPr="00921A85" w:rsidRDefault="00F37C33" w:rsidP="00F37C33">
            <w:pPr>
              <w:numPr>
                <w:ilvl w:val="0"/>
                <w:numId w:val="12"/>
              </w:numPr>
              <w:spacing w:after="0" w:line="240" w:lineRule="auto"/>
              <w:rPr>
                <w:sz w:val="20"/>
                <w:szCs w:val="20"/>
              </w:rPr>
            </w:pPr>
            <w:r w:rsidRPr="00921A85">
              <w:rPr>
                <w:sz w:val="20"/>
                <w:szCs w:val="20"/>
              </w:rPr>
              <w:t>Determination of cumulative vs. hierarchical concepts can inform targeted approaches</w:t>
            </w:r>
          </w:p>
          <w:p w14:paraId="09DB39E1" w14:textId="77777777" w:rsidR="00F37C33" w:rsidRPr="00921A85" w:rsidRDefault="00F37C33" w:rsidP="00F37C33">
            <w:pPr>
              <w:numPr>
                <w:ilvl w:val="0"/>
                <w:numId w:val="12"/>
              </w:numPr>
              <w:spacing w:after="0" w:line="240" w:lineRule="auto"/>
              <w:rPr>
                <w:sz w:val="20"/>
                <w:szCs w:val="20"/>
              </w:rPr>
            </w:pPr>
            <w:r w:rsidRPr="00921A85">
              <w:rPr>
                <w:sz w:val="20"/>
                <w:szCs w:val="20"/>
              </w:rPr>
              <w:t xml:space="preserve">Focus for Fifteen – 15minute focus pre/post teach sessions facilitated allowing explicit teaching </w:t>
            </w:r>
          </w:p>
          <w:p w14:paraId="3A481294" w14:textId="77777777" w:rsidR="00D5367C" w:rsidRPr="00921A85" w:rsidRDefault="00D5367C" w:rsidP="00C92A32">
            <w:pPr>
              <w:spacing w:after="0" w:line="240" w:lineRule="auto"/>
              <w:ind w:left="720"/>
              <w:rPr>
                <w:sz w:val="20"/>
                <w:szCs w:val="20"/>
              </w:rPr>
            </w:pP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FD9590" w14:textId="77777777" w:rsidR="00F37C33" w:rsidRPr="00921A85" w:rsidRDefault="00D5367C" w:rsidP="00F37C33">
            <w:pPr>
              <w:pStyle w:val="TableRowCentered"/>
              <w:jc w:val="left"/>
              <w:rPr>
                <w:rFonts w:asciiTheme="minorHAnsi" w:hAnsiTheme="minorHAnsi"/>
                <w:color w:val="auto"/>
                <w:sz w:val="20"/>
              </w:rPr>
            </w:pPr>
            <w:r w:rsidRPr="00921A85">
              <w:rPr>
                <w:rFonts w:asciiTheme="minorHAnsi" w:hAnsiTheme="minorHAnsi"/>
                <w:color w:val="auto"/>
                <w:sz w:val="20"/>
              </w:rPr>
              <w:t>1, 2, 3, 4, 5</w:t>
            </w:r>
          </w:p>
        </w:tc>
      </w:tr>
      <w:tr w:rsidR="00F37C33" w:rsidRPr="00921A85" w14:paraId="2043E77D" w14:textId="77777777" w:rsidTr="00D5367C">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DA59AA" w14:textId="77777777" w:rsidR="00F37C33" w:rsidRPr="00921A85" w:rsidRDefault="00F37C33" w:rsidP="00F37C33">
            <w:pPr>
              <w:rPr>
                <w:sz w:val="20"/>
                <w:szCs w:val="20"/>
              </w:rPr>
            </w:pPr>
            <w:r w:rsidRPr="00921A85">
              <w:rPr>
                <w:sz w:val="20"/>
                <w:szCs w:val="20"/>
              </w:rPr>
              <w:t>Diagnostic Assessments – contribution towards procurement of diagnostic test package (PIRA, PUMA, NTS) to inform T&amp;L and illuminate gaps</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DAEB483" w14:textId="77777777" w:rsidR="00F37C33" w:rsidRPr="00921A85" w:rsidRDefault="00F37C33" w:rsidP="00F37C33">
            <w:pPr>
              <w:numPr>
                <w:ilvl w:val="0"/>
                <w:numId w:val="12"/>
              </w:numPr>
              <w:spacing w:after="0" w:line="240" w:lineRule="auto"/>
              <w:rPr>
                <w:sz w:val="20"/>
                <w:szCs w:val="20"/>
              </w:rPr>
            </w:pPr>
            <w:r w:rsidRPr="00921A85">
              <w:rPr>
                <w:sz w:val="20"/>
                <w:szCs w:val="20"/>
              </w:rPr>
              <w:t xml:space="preserve">Important to “sensitively diagnose the actual impact that COVID19 closures may have had” (EEF </w:t>
            </w:r>
            <w:proofErr w:type="spellStart"/>
            <w:r w:rsidRPr="00921A85">
              <w:rPr>
                <w:sz w:val="20"/>
                <w:szCs w:val="20"/>
              </w:rPr>
              <w:t>GtSSP</w:t>
            </w:r>
            <w:proofErr w:type="spellEnd"/>
            <w:r w:rsidRPr="00921A85">
              <w:rPr>
                <w:sz w:val="20"/>
                <w:szCs w:val="20"/>
              </w:rPr>
              <w:t>, p10)</w:t>
            </w:r>
          </w:p>
          <w:p w14:paraId="424FD2B1" w14:textId="77777777" w:rsidR="00F37C33" w:rsidRPr="00921A85" w:rsidRDefault="00F37C33" w:rsidP="00F37C33">
            <w:pPr>
              <w:numPr>
                <w:ilvl w:val="0"/>
                <w:numId w:val="12"/>
              </w:numPr>
              <w:spacing w:after="0" w:line="240" w:lineRule="auto"/>
              <w:rPr>
                <w:sz w:val="20"/>
                <w:szCs w:val="20"/>
              </w:rPr>
            </w:pPr>
            <w:r w:rsidRPr="00921A85">
              <w:rPr>
                <w:sz w:val="20"/>
                <w:szCs w:val="20"/>
              </w:rPr>
              <w:t xml:space="preserve">Assessment can “support teachers to recognise the importance of each small piece of information which contributes to the bigger picture” (EEF </w:t>
            </w:r>
            <w:proofErr w:type="spellStart"/>
            <w:r w:rsidRPr="00921A85">
              <w:rPr>
                <w:sz w:val="20"/>
                <w:szCs w:val="20"/>
              </w:rPr>
              <w:t>GtSSP</w:t>
            </w:r>
            <w:proofErr w:type="spellEnd"/>
            <w:r w:rsidRPr="00921A85">
              <w:rPr>
                <w:sz w:val="20"/>
                <w:szCs w:val="20"/>
              </w:rPr>
              <w:t>, p10)</w:t>
            </w:r>
          </w:p>
          <w:p w14:paraId="0B52A69F" w14:textId="77777777" w:rsidR="00F37C33" w:rsidRPr="00921A85" w:rsidRDefault="00F37C33" w:rsidP="00F37C33">
            <w:pPr>
              <w:numPr>
                <w:ilvl w:val="0"/>
                <w:numId w:val="12"/>
              </w:numPr>
              <w:spacing w:after="0" w:line="240" w:lineRule="auto"/>
              <w:rPr>
                <w:sz w:val="20"/>
                <w:szCs w:val="20"/>
              </w:rPr>
            </w:pPr>
            <w:r w:rsidRPr="00921A85">
              <w:rPr>
                <w:sz w:val="20"/>
                <w:szCs w:val="20"/>
              </w:rPr>
              <w:t>Informs short, medium and longer term planning</w:t>
            </w:r>
          </w:p>
          <w:p w14:paraId="7CCEDED3" w14:textId="77777777" w:rsidR="00D5367C" w:rsidRPr="00921A85" w:rsidRDefault="00F37C33" w:rsidP="00D5367C">
            <w:pPr>
              <w:numPr>
                <w:ilvl w:val="0"/>
                <w:numId w:val="12"/>
              </w:numPr>
              <w:spacing w:after="0" w:line="240" w:lineRule="auto"/>
              <w:rPr>
                <w:sz w:val="20"/>
                <w:szCs w:val="20"/>
              </w:rPr>
            </w:pPr>
            <w:r w:rsidRPr="00921A85">
              <w:rPr>
                <w:sz w:val="20"/>
                <w:szCs w:val="20"/>
              </w:rPr>
              <w:t>Supports grouping and provision of targeted support</w:t>
            </w:r>
          </w:p>
          <w:p w14:paraId="27474648" w14:textId="77777777" w:rsidR="00D5367C" w:rsidRPr="00921A85" w:rsidRDefault="00D5367C" w:rsidP="00D5367C">
            <w:pPr>
              <w:numPr>
                <w:ilvl w:val="0"/>
                <w:numId w:val="12"/>
              </w:numPr>
              <w:spacing w:after="0" w:line="240" w:lineRule="auto"/>
              <w:rPr>
                <w:sz w:val="20"/>
                <w:szCs w:val="20"/>
              </w:rPr>
            </w:pPr>
            <w:hyperlink r:id="rId11" w:history="1">
              <w:r w:rsidRPr="00921A85">
                <w:rPr>
                  <w:color w:val="0070C0"/>
                  <w:sz w:val="20"/>
                  <w:szCs w:val="20"/>
                  <w:u w:val="single"/>
                </w:rPr>
                <w:t>Standardised tests; Assessing and Monitoring Pupil Progress  - EEF</w:t>
              </w:r>
            </w:hyperlink>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45FF4EC" w14:textId="77777777" w:rsidR="00F37C33" w:rsidRPr="00921A85" w:rsidRDefault="00D5367C" w:rsidP="00F37C33">
            <w:pPr>
              <w:pStyle w:val="TableRowCentered"/>
              <w:jc w:val="left"/>
              <w:rPr>
                <w:rFonts w:asciiTheme="minorHAnsi" w:hAnsiTheme="minorHAnsi"/>
                <w:color w:val="auto"/>
                <w:sz w:val="20"/>
              </w:rPr>
            </w:pPr>
            <w:r w:rsidRPr="00921A85">
              <w:rPr>
                <w:rFonts w:asciiTheme="minorHAnsi" w:hAnsiTheme="minorHAnsi"/>
                <w:color w:val="auto"/>
                <w:sz w:val="20"/>
              </w:rPr>
              <w:t>2, 4</w:t>
            </w:r>
          </w:p>
        </w:tc>
      </w:tr>
      <w:tr w:rsidR="00F37C33" w:rsidRPr="00921A85" w14:paraId="1D3031DE" w14:textId="77777777" w:rsidTr="00D5367C">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81473A9" w14:textId="5921C18A" w:rsidR="00F37C33" w:rsidRPr="00921A85" w:rsidRDefault="00F37C33" w:rsidP="00F37C33">
            <w:pPr>
              <w:rPr>
                <w:sz w:val="20"/>
                <w:szCs w:val="20"/>
              </w:rPr>
            </w:pPr>
            <w:r w:rsidRPr="00921A85">
              <w:rPr>
                <w:sz w:val="20"/>
                <w:szCs w:val="20"/>
              </w:rPr>
              <w:t xml:space="preserve">Specific CPD to address </w:t>
            </w:r>
            <w:r w:rsidR="00926C36">
              <w:rPr>
                <w:sz w:val="20"/>
                <w:szCs w:val="20"/>
              </w:rPr>
              <w:t xml:space="preserve">gaps in curriculum knowledge, especially in foundation subjects; </w:t>
            </w:r>
            <w:r w:rsidRPr="00921A85">
              <w:rPr>
                <w:sz w:val="20"/>
                <w:szCs w:val="20"/>
              </w:rPr>
              <w:t xml:space="preserve">supporting teachers and / or support staff </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3A5FEA5" w14:textId="77777777" w:rsidR="00F37C33" w:rsidRPr="00921A85" w:rsidRDefault="00F37C33" w:rsidP="00F37C33">
            <w:pPr>
              <w:numPr>
                <w:ilvl w:val="0"/>
                <w:numId w:val="12"/>
              </w:numPr>
              <w:spacing w:after="0" w:line="240" w:lineRule="auto"/>
              <w:rPr>
                <w:sz w:val="20"/>
                <w:szCs w:val="20"/>
              </w:rPr>
            </w:pPr>
            <w:r w:rsidRPr="00921A85">
              <w:rPr>
                <w:sz w:val="20"/>
                <w:szCs w:val="20"/>
              </w:rPr>
              <w:t>Vital to help staff understand “what they should teach, and improve their confidence” (DfE Education Recovery, p7)</w:t>
            </w:r>
          </w:p>
          <w:p w14:paraId="4227017E" w14:textId="1A80375E" w:rsidR="00F37C33" w:rsidRPr="00921A85" w:rsidRDefault="00F37C33" w:rsidP="00F37C33">
            <w:pPr>
              <w:numPr>
                <w:ilvl w:val="0"/>
                <w:numId w:val="12"/>
              </w:numPr>
              <w:spacing w:after="0" w:line="240" w:lineRule="auto"/>
              <w:rPr>
                <w:sz w:val="20"/>
                <w:szCs w:val="20"/>
              </w:rPr>
            </w:pPr>
            <w:r w:rsidRPr="00921A85">
              <w:rPr>
                <w:sz w:val="20"/>
                <w:szCs w:val="20"/>
              </w:rPr>
              <w:t xml:space="preserve">Provides staff with opportunities to reflect on pedagogical approaches and/or curriculum design to </w:t>
            </w:r>
            <w:r w:rsidR="00926C36">
              <w:rPr>
                <w:sz w:val="20"/>
                <w:szCs w:val="20"/>
              </w:rPr>
              <w:t>overcome barriers to learning</w:t>
            </w:r>
          </w:p>
          <w:p w14:paraId="6D711ADC" w14:textId="77777777" w:rsidR="00F37C33" w:rsidRPr="00921A85" w:rsidRDefault="00F37C33" w:rsidP="00F37C33">
            <w:pPr>
              <w:numPr>
                <w:ilvl w:val="0"/>
                <w:numId w:val="12"/>
              </w:numPr>
              <w:spacing w:after="0" w:line="240" w:lineRule="auto"/>
              <w:rPr>
                <w:sz w:val="20"/>
                <w:szCs w:val="20"/>
              </w:rPr>
            </w:pPr>
            <w:r w:rsidRPr="00921A85">
              <w:rPr>
                <w:sz w:val="20"/>
                <w:szCs w:val="20"/>
              </w:rPr>
              <w:t xml:space="preserve">“Improving quality of teaching [is] almost always supported by high-quality CPD” (EEF </w:t>
            </w:r>
            <w:proofErr w:type="spellStart"/>
            <w:r w:rsidRPr="00921A85">
              <w:rPr>
                <w:sz w:val="20"/>
                <w:szCs w:val="20"/>
              </w:rPr>
              <w:t>GtSSP</w:t>
            </w:r>
            <w:proofErr w:type="spellEnd"/>
            <w:r w:rsidRPr="00921A85">
              <w:rPr>
                <w:sz w:val="20"/>
                <w:szCs w:val="20"/>
              </w:rPr>
              <w:t>, p14)</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7204CD4" w14:textId="77777777" w:rsidR="00F37C33" w:rsidRPr="00921A85" w:rsidRDefault="00D5367C" w:rsidP="00F37C33">
            <w:pPr>
              <w:pStyle w:val="TableRowCentered"/>
              <w:jc w:val="left"/>
              <w:rPr>
                <w:rFonts w:asciiTheme="minorHAnsi" w:hAnsiTheme="minorHAnsi"/>
                <w:color w:val="auto"/>
                <w:sz w:val="20"/>
              </w:rPr>
            </w:pPr>
            <w:r w:rsidRPr="00921A85">
              <w:rPr>
                <w:rFonts w:asciiTheme="minorHAnsi" w:hAnsiTheme="minorHAnsi"/>
                <w:color w:val="auto"/>
                <w:sz w:val="20"/>
              </w:rPr>
              <w:t>4</w:t>
            </w:r>
            <w:r w:rsidR="00390F4C">
              <w:rPr>
                <w:rFonts w:asciiTheme="minorHAnsi" w:hAnsiTheme="minorHAnsi"/>
                <w:color w:val="auto"/>
                <w:sz w:val="20"/>
              </w:rPr>
              <w:t>, 2, 3, 5</w:t>
            </w:r>
          </w:p>
        </w:tc>
      </w:tr>
      <w:tr w:rsidR="00F37C33" w:rsidRPr="00921A85" w14:paraId="7A25E8FA" w14:textId="77777777" w:rsidTr="00D5367C">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CF5C4C0" w14:textId="3BADE827" w:rsidR="00F37C33" w:rsidRPr="00921A85" w:rsidRDefault="00BB0007" w:rsidP="00F37C33">
            <w:pPr>
              <w:rPr>
                <w:sz w:val="20"/>
                <w:szCs w:val="20"/>
              </w:rPr>
            </w:pPr>
            <w:r>
              <w:rPr>
                <w:sz w:val="20"/>
                <w:szCs w:val="20"/>
              </w:rPr>
              <w:t xml:space="preserve">Retain </w:t>
            </w:r>
            <w:r w:rsidR="00F37C33" w:rsidRPr="00921A85">
              <w:rPr>
                <w:sz w:val="20"/>
                <w:szCs w:val="20"/>
              </w:rPr>
              <w:t xml:space="preserve">Home Learning </w:t>
            </w:r>
            <w:r>
              <w:rPr>
                <w:sz w:val="20"/>
                <w:szCs w:val="20"/>
              </w:rPr>
              <w:t xml:space="preserve">Resilience </w:t>
            </w:r>
            <w:r w:rsidR="00F37C33" w:rsidRPr="00921A85">
              <w:rPr>
                <w:sz w:val="20"/>
                <w:szCs w:val="20"/>
              </w:rPr>
              <w:t xml:space="preserve">– resource availability of home learning platforms, including both software and hardware, </w:t>
            </w:r>
            <w:r>
              <w:rPr>
                <w:sz w:val="20"/>
                <w:szCs w:val="20"/>
              </w:rPr>
              <w:t>in case of future need.</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B89CEF1" w14:textId="5EC3DC7C" w:rsidR="00F37C33" w:rsidRPr="00921A85" w:rsidRDefault="00BB0007" w:rsidP="00F37C33">
            <w:pPr>
              <w:numPr>
                <w:ilvl w:val="0"/>
                <w:numId w:val="12"/>
              </w:numPr>
              <w:spacing w:after="0" w:line="240" w:lineRule="auto"/>
              <w:rPr>
                <w:sz w:val="20"/>
                <w:szCs w:val="20"/>
              </w:rPr>
            </w:pPr>
            <w:r>
              <w:rPr>
                <w:sz w:val="20"/>
                <w:szCs w:val="20"/>
              </w:rPr>
              <w:t>Build on successes of home learning during COVID and provide continued opportunities to promote this for DPs in ways they will engage with, resourcing this as needed</w:t>
            </w:r>
          </w:p>
          <w:p w14:paraId="50D4E18B" w14:textId="77777777" w:rsidR="00F37C33" w:rsidRPr="00921A85" w:rsidRDefault="00F37C33" w:rsidP="00F37C33">
            <w:pPr>
              <w:numPr>
                <w:ilvl w:val="0"/>
                <w:numId w:val="12"/>
              </w:numPr>
              <w:spacing w:after="0" w:line="240" w:lineRule="auto"/>
              <w:rPr>
                <w:sz w:val="20"/>
                <w:szCs w:val="20"/>
              </w:rPr>
            </w:pPr>
            <w:r w:rsidRPr="00921A85">
              <w:rPr>
                <w:sz w:val="20"/>
                <w:szCs w:val="20"/>
              </w:rPr>
              <w:t>“79% of students require a computer for at least half of the work provided” ISER, 2020</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1DD8437" w14:textId="77777777" w:rsidR="00F37C33" w:rsidRPr="00921A85" w:rsidRDefault="00D5367C" w:rsidP="00F37C33">
            <w:pPr>
              <w:pStyle w:val="TableRowCentered"/>
              <w:jc w:val="left"/>
              <w:rPr>
                <w:rFonts w:asciiTheme="minorHAnsi" w:hAnsiTheme="minorHAnsi"/>
                <w:color w:val="auto"/>
                <w:sz w:val="20"/>
              </w:rPr>
            </w:pPr>
            <w:r w:rsidRPr="00921A85">
              <w:rPr>
                <w:rFonts w:asciiTheme="minorHAnsi" w:hAnsiTheme="minorHAnsi"/>
                <w:color w:val="auto"/>
                <w:sz w:val="20"/>
              </w:rPr>
              <w:t>1</w:t>
            </w:r>
          </w:p>
        </w:tc>
      </w:tr>
      <w:tr w:rsidR="00D5367C" w:rsidRPr="00921A85" w14:paraId="752E9F4C" w14:textId="77777777" w:rsidTr="00D5367C">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B67A51A" w14:textId="3CC40C43" w:rsidR="00D5367C" w:rsidRPr="00921A85" w:rsidRDefault="00BB0007" w:rsidP="00D5367C">
            <w:pPr>
              <w:spacing w:before="60" w:line="240" w:lineRule="auto"/>
              <w:ind w:left="29" w:right="57"/>
              <w:rPr>
                <w:rFonts w:cs="Arial"/>
                <w:iCs/>
                <w:sz w:val="20"/>
                <w:szCs w:val="20"/>
              </w:rPr>
            </w:pPr>
            <w:r>
              <w:rPr>
                <w:rFonts w:cs="Arial"/>
                <w:iCs/>
                <w:sz w:val="20"/>
                <w:szCs w:val="20"/>
              </w:rPr>
              <w:t>Embedding</w:t>
            </w:r>
            <w:r w:rsidR="00D5367C" w:rsidRPr="00921A85">
              <w:rPr>
                <w:rFonts w:cs="Arial"/>
                <w:iCs/>
                <w:sz w:val="20"/>
                <w:szCs w:val="20"/>
              </w:rPr>
              <w:t xml:space="preserve"> of Little Wandle,  </w:t>
            </w:r>
            <w:hyperlink r:id="rId12" w:history="1">
              <w:r w:rsidR="00D5367C" w:rsidRPr="00921A85">
                <w:rPr>
                  <w:rStyle w:val="Hyperlink"/>
                  <w:rFonts w:asciiTheme="minorHAnsi" w:hAnsiTheme="minorHAnsi" w:cs="Arial"/>
                  <w:iCs/>
                  <w:color w:val="0070C0"/>
                  <w:sz w:val="20"/>
                  <w:szCs w:val="20"/>
                </w:rPr>
                <w:t>Validated Systematic Synthetic Phonics scheme</w:t>
              </w:r>
            </w:hyperlink>
            <w:r w:rsidR="00D5367C" w:rsidRPr="00921A85">
              <w:rPr>
                <w:rFonts w:cs="Arial"/>
                <w:iCs/>
                <w:sz w:val="20"/>
                <w:szCs w:val="20"/>
              </w:rPr>
              <w:t xml:space="preserve"> to secure stronger phonics teaching for all pupils.</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23587AC" w14:textId="77777777" w:rsidR="00D5367C" w:rsidRPr="00921A85" w:rsidRDefault="00D5367C" w:rsidP="0037169B">
            <w:pPr>
              <w:pStyle w:val="TableRowCentered"/>
              <w:numPr>
                <w:ilvl w:val="0"/>
                <w:numId w:val="12"/>
              </w:numPr>
              <w:spacing w:before="0" w:after="0"/>
              <w:jc w:val="left"/>
              <w:rPr>
                <w:rFonts w:asciiTheme="minorHAnsi" w:hAnsiTheme="minorHAnsi" w:cs="Arial"/>
                <w:color w:val="auto"/>
                <w:sz w:val="20"/>
              </w:rPr>
            </w:pPr>
            <w:r w:rsidRPr="00921A85">
              <w:rPr>
                <w:rFonts w:asciiTheme="minorHAnsi" w:hAnsiTheme="minorHAnsi" w:cs="Arial"/>
                <w:color w:val="auto"/>
                <w:sz w:val="20"/>
              </w:rPr>
              <w:t>Phonics approaches have a strong evidence base that indicates a positive impact on the accuracy of word reading, particularly for disadvantaged pupils</w:t>
            </w:r>
          </w:p>
          <w:p w14:paraId="0AA2B84A" w14:textId="77777777" w:rsidR="00D5367C" w:rsidRPr="00921A85" w:rsidRDefault="00D5367C" w:rsidP="0037169B">
            <w:pPr>
              <w:pStyle w:val="TableRowCentered"/>
              <w:numPr>
                <w:ilvl w:val="0"/>
                <w:numId w:val="12"/>
              </w:numPr>
              <w:spacing w:before="0" w:after="0"/>
              <w:jc w:val="left"/>
              <w:rPr>
                <w:rFonts w:asciiTheme="minorHAnsi" w:hAnsiTheme="minorHAnsi" w:cs="Arial"/>
                <w:color w:val="auto"/>
                <w:sz w:val="20"/>
              </w:rPr>
            </w:pPr>
            <w:r w:rsidRPr="00921A85">
              <w:rPr>
                <w:rFonts w:asciiTheme="minorHAnsi" w:hAnsiTheme="minorHAnsi" w:cs="Arial"/>
                <w:color w:val="auto"/>
                <w:sz w:val="20"/>
              </w:rPr>
              <w:t>Reading and fluency underpins access to wider curriculum</w:t>
            </w:r>
          </w:p>
          <w:p w14:paraId="1F84AA74" w14:textId="77777777" w:rsidR="00D5367C" w:rsidRPr="00921A85" w:rsidRDefault="00D5367C" w:rsidP="0037169B">
            <w:pPr>
              <w:pStyle w:val="TableRowCentered"/>
              <w:numPr>
                <w:ilvl w:val="0"/>
                <w:numId w:val="12"/>
              </w:numPr>
              <w:spacing w:before="0" w:after="0"/>
              <w:jc w:val="left"/>
              <w:rPr>
                <w:rFonts w:asciiTheme="minorHAnsi" w:hAnsiTheme="minorHAnsi" w:cs="Arial"/>
                <w:color w:val="auto"/>
                <w:sz w:val="20"/>
              </w:rPr>
            </w:pPr>
            <w:hyperlink r:id="rId13" w:history="1">
              <w:r w:rsidRPr="00921A85">
                <w:rPr>
                  <w:rFonts w:asciiTheme="minorHAnsi" w:hAnsiTheme="minorHAnsi"/>
                  <w:color w:val="0070C0"/>
                  <w:sz w:val="20"/>
                  <w:u w:val="single"/>
                </w:rPr>
                <w:t>Phonics Toolkit Strand - EEF</w:t>
              </w:r>
            </w:hyperlink>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F8BE720" w14:textId="77777777" w:rsidR="00D5367C" w:rsidRPr="00921A85" w:rsidRDefault="00D5367C" w:rsidP="00D5367C">
            <w:pPr>
              <w:pStyle w:val="TableRowCentered"/>
              <w:jc w:val="left"/>
              <w:rPr>
                <w:rFonts w:asciiTheme="minorHAnsi" w:hAnsiTheme="minorHAnsi"/>
                <w:color w:val="auto"/>
                <w:sz w:val="20"/>
              </w:rPr>
            </w:pPr>
            <w:r w:rsidRPr="00921A85">
              <w:rPr>
                <w:rFonts w:asciiTheme="minorHAnsi" w:hAnsiTheme="minorHAnsi"/>
                <w:color w:val="auto"/>
                <w:sz w:val="20"/>
              </w:rPr>
              <w:t>2</w:t>
            </w:r>
          </w:p>
        </w:tc>
      </w:tr>
    </w:tbl>
    <w:p w14:paraId="18A21D4C" w14:textId="77777777" w:rsidR="006169BC" w:rsidRPr="001F4AAE" w:rsidRDefault="006169BC" w:rsidP="00A123E7">
      <w:pPr>
        <w:pStyle w:val="Heading3"/>
      </w:pPr>
      <w:r w:rsidRPr="001F4AAE">
        <w:lastRenderedPageBreak/>
        <w:t xml:space="preserve">Targeted academic support (for example, tutoring, one-to-one support structured interventions) </w:t>
      </w:r>
    </w:p>
    <w:p w14:paraId="1E4ABBA9" w14:textId="7549E4CE" w:rsidR="006169BC" w:rsidRPr="00A123E7" w:rsidRDefault="006169BC" w:rsidP="006169BC">
      <w:pPr>
        <w:rPr>
          <w:sz w:val="20"/>
        </w:rPr>
      </w:pPr>
      <w:r w:rsidRPr="00846A99">
        <w:rPr>
          <w:sz w:val="20"/>
        </w:rPr>
        <w:t>Budgeted cost</w:t>
      </w:r>
      <w:r w:rsidR="00846A99">
        <w:rPr>
          <w:sz w:val="20"/>
        </w:rPr>
        <w:t xml:space="preserve"> from Pupil Premium / Recovery Premium</w:t>
      </w:r>
      <w:r w:rsidRPr="00846A99">
        <w:rPr>
          <w:sz w:val="20"/>
        </w:rPr>
        <w:t xml:space="preserve">: </w:t>
      </w:r>
      <w:r w:rsidRPr="00846A99">
        <w:rPr>
          <w:b/>
          <w:bCs/>
          <w:sz w:val="20"/>
        </w:rPr>
        <w:t>£</w:t>
      </w:r>
      <w:r w:rsidR="00047575">
        <w:rPr>
          <w:b/>
          <w:bCs/>
          <w:sz w:val="20"/>
        </w:rPr>
        <w:t>7</w:t>
      </w:r>
      <w:r w:rsidR="00846A99">
        <w:rPr>
          <w:b/>
          <w:bCs/>
          <w:sz w:val="20"/>
        </w:rPr>
        <w:t>,4</w:t>
      </w:r>
      <w:r w:rsidR="00047575">
        <w:rPr>
          <w:b/>
          <w:bCs/>
          <w:sz w:val="20"/>
        </w:rPr>
        <w:t>38</w:t>
      </w:r>
    </w:p>
    <w:tbl>
      <w:tblPr>
        <w:tblW w:w="5000" w:type="pct"/>
        <w:tblLayout w:type="fixed"/>
        <w:tblCellMar>
          <w:left w:w="10" w:type="dxa"/>
          <w:right w:w="10" w:type="dxa"/>
        </w:tblCellMar>
        <w:tblLook w:val="04A0" w:firstRow="1" w:lastRow="0" w:firstColumn="1" w:lastColumn="0" w:noHBand="0" w:noVBand="1"/>
      </w:tblPr>
      <w:tblGrid>
        <w:gridCol w:w="3276"/>
        <w:gridCol w:w="5480"/>
        <w:gridCol w:w="1700"/>
      </w:tblGrid>
      <w:tr w:rsidR="006169BC" w:rsidRPr="00A123E7" w14:paraId="069F7274" w14:textId="77777777" w:rsidTr="004714E0">
        <w:tc>
          <w:tcPr>
            <w:tcW w:w="327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340E0E13" w14:textId="77777777" w:rsidR="006169BC" w:rsidRPr="00921A85" w:rsidRDefault="006169BC" w:rsidP="0087531D">
            <w:pPr>
              <w:pStyle w:val="TableHeader"/>
              <w:jc w:val="left"/>
              <w:rPr>
                <w:rFonts w:asciiTheme="minorHAnsi" w:hAnsiTheme="minorHAnsi"/>
                <w:sz w:val="20"/>
                <w:szCs w:val="20"/>
              </w:rPr>
            </w:pPr>
            <w:r w:rsidRPr="00921A85">
              <w:rPr>
                <w:rFonts w:asciiTheme="minorHAnsi" w:hAnsiTheme="minorHAnsi"/>
                <w:sz w:val="20"/>
                <w:szCs w:val="20"/>
              </w:rPr>
              <w:t>Activity</w:t>
            </w:r>
          </w:p>
        </w:tc>
        <w:tc>
          <w:tcPr>
            <w:tcW w:w="548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1A3EB3EA" w14:textId="77777777" w:rsidR="006169BC" w:rsidRPr="00921A85" w:rsidRDefault="006169BC" w:rsidP="0087531D">
            <w:pPr>
              <w:pStyle w:val="TableHeader"/>
              <w:jc w:val="left"/>
              <w:rPr>
                <w:rFonts w:asciiTheme="minorHAnsi" w:hAnsiTheme="minorHAnsi"/>
                <w:sz w:val="20"/>
                <w:szCs w:val="20"/>
              </w:rPr>
            </w:pPr>
            <w:r w:rsidRPr="00921A85">
              <w:rPr>
                <w:rFonts w:asciiTheme="minorHAnsi" w:hAnsiTheme="minorHAnsi"/>
                <w:sz w:val="20"/>
                <w:szCs w:val="20"/>
              </w:rPr>
              <w:t>Evidence that supports this approach</w:t>
            </w:r>
          </w:p>
        </w:tc>
        <w:tc>
          <w:tcPr>
            <w:tcW w:w="170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7288D6A5" w14:textId="77777777" w:rsidR="006169BC" w:rsidRPr="00921A85" w:rsidRDefault="006169BC" w:rsidP="0087531D">
            <w:pPr>
              <w:pStyle w:val="TableHeader"/>
              <w:jc w:val="left"/>
              <w:rPr>
                <w:rFonts w:asciiTheme="minorHAnsi" w:hAnsiTheme="minorHAnsi"/>
                <w:sz w:val="20"/>
                <w:szCs w:val="20"/>
              </w:rPr>
            </w:pPr>
            <w:r w:rsidRPr="00921A85">
              <w:rPr>
                <w:rFonts w:asciiTheme="minorHAnsi" w:hAnsiTheme="minorHAnsi"/>
                <w:sz w:val="20"/>
                <w:szCs w:val="20"/>
              </w:rPr>
              <w:t>Challenge number(s) addressed</w:t>
            </w:r>
          </w:p>
        </w:tc>
      </w:tr>
      <w:tr w:rsidR="00C92A32" w:rsidRPr="00A123E7" w14:paraId="4C64CEA5" w14:textId="77777777" w:rsidTr="004714E0">
        <w:tc>
          <w:tcPr>
            <w:tcW w:w="3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CFFFB" w14:textId="77777777" w:rsidR="00C92A32" w:rsidRPr="00921A85" w:rsidRDefault="00C92A32" w:rsidP="00C92A32">
            <w:pPr>
              <w:rPr>
                <w:sz w:val="20"/>
                <w:szCs w:val="20"/>
              </w:rPr>
            </w:pPr>
            <w:r w:rsidRPr="00921A85">
              <w:rPr>
                <w:sz w:val="20"/>
                <w:szCs w:val="20"/>
              </w:rPr>
              <w:t>EY / KS1 Phonics Catch Up groups (small group tuition)</w:t>
            </w:r>
          </w:p>
        </w:tc>
        <w:tc>
          <w:tcPr>
            <w:tcW w:w="5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C5286A" w14:textId="77777777" w:rsidR="00C92A32" w:rsidRPr="00921A85" w:rsidRDefault="00C92A32" w:rsidP="00C92A32">
            <w:pPr>
              <w:numPr>
                <w:ilvl w:val="0"/>
                <w:numId w:val="12"/>
              </w:numPr>
              <w:spacing w:after="0" w:line="240" w:lineRule="auto"/>
              <w:rPr>
                <w:sz w:val="20"/>
                <w:szCs w:val="20"/>
              </w:rPr>
            </w:pPr>
            <w:r w:rsidRPr="00921A85">
              <w:rPr>
                <w:sz w:val="20"/>
                <w:szCs w:val="20"/>
              </w:rPr>
              <w:t>EEF Toolkit, potential +4 months gain</w:t>
            </w:r>
          </w:p>
          <w:p w14:paraId="3CAC1119" w14:textId="77777777" w:rsidR="00C92A32" w:rsidRPr="00921A85" w:rsidRDefault="00C92A32" w:rsidP="00C92A32">
            <w:pPr>
              <w:numPr>
                <w:ilvl w:val="0"/>
                <w:numId w:val="12"/>
              </w:numPr>
              <w:spacing w:after="0" w:line="240" w:lineRule="auto"/>
              <w:rPr>
                <w:sz w:val="20"/>
                <w:szCs w:val="20"/>
              </w:rPr>
            </w:pPr>
            <w:r w:rsidRPr="00921A85">
              <w:rPr>
                <w:sz w:val="20"/>
                <w:szCs w:val="20"/>
              </w:rPr>
              <w:t>Significant skill required to successfully implement Systematic Synthetic Phonics programme, unable to be robustly delivered during home learning</w:t>
            </w:r>
          </w:p>
          <w:p w14:paraId="5AAE8FBF" w14:textId="77777777" w:rsidR="00C92A32" w:rsidRDefault="00C92A32" w:rsidP="00C92A32">
            <w:pPr>
              <w:numPr>
                <w:ilvl w:val="0"/>
                <w:numId w:val="12"/>
              </w:numPr>
              <w:spacing w:after="0" w:line="240" w:lineRule="auto"/>
              <w:rPr>
                <w:sz w:val="20"/>
                <w:szCs w:val="20"/>
              </w:rPr>
            </w:pPr>
            <w:r w:rsidRPr="00921A85">
              <w:rPr>
                <w:sz w:val="20"/>
                <w:szCs w:val="20"/>
              </w:rPr>
              <w:t xml:space="preserve">Able to provide “structured supporting resources and lesson plans” (EEF </w:t>
            </w:r>
            <w:proofErr w:type="spellStart"/>
            <w:r w:rsidRPr="00921A85">
              <w:rPr>
                <w:sz w:val="20"/>
                <w:szCs w:val="20"/>
              </w:rPr>
              <w:t>GtSSP</w:t>
            </w:r>
            <w:proofErr w:type="spellEnd"/>
            <w:r w:rsidRPr="00921A85">
              <w:rPr>
                <w:sz w:val="20"/>
                <w:szCs w:val="20"/>
              </w:rPr>
              <w:t>, p15)</w:t>
            </w:r>
          </w:p>
          <w:p w14:paraId="75CD8327" w14:textId="77777777" w:rsidR="009D23B1" w:rsidRPr="00921A85" w:rsidRDefault="009D23B1" w:rsidP="009D23B1">
            <w:pPr>
              <w:numPr>
                <w:ilvl w:val="0"/>
                <w:numId w:val="12"/>
              </w:numPr>
              <w:spacing w:after="0" w:line="240" w:lineRule="auto"/>
              <w:rPr>
                <w:sz w:val="20"/>
                <w:szCs w:val="20"/>
              </w:rPr>
            </w:pPr>
            <w:hyperlink r:id="rId14" w:history="1">
              <w:r w:rsidRPr="00921A85">
                <w:rPr>
                  <w:color w:val="0070C0"/>
                  <w:sz w:val="20"/>
                  <w:szCs w:val="20"/>
                  <w:u w:val="single"/>
                </w:rPr>
                <w:t>EEF - Small group tuition</w:t>
              </w:r>
            </w:hyperlink>
          </w:p>
          <w:p w14:paraId="3018B477" w14:textId="76880180" w:rsidR="009D23B1" w:rsidRPr="00921A85" w:rsidRDefault="009D23B1" w:rsidP="009D23B1">
            <w:pPr>
              <w:spacing w:after="0" w:line="240" w:lineRule="auto"/>
              <w:ind w:left="720"/>
              <w:rPr>
                <w:sz w:val="20"/>
                <w:szCs w:val="20"/>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CFFE8A" w14:textId="77777777" w:rsidR="00C92A32" w:rsidRPr="00921A85" w:rsidRDefault="00C92A32" w:rsidP="00C92A32">
            <w:pPr>
              <w:pStyle w:val="TableRowCentered"/>
              <w:jc w:val="left"/>
              <w:rPr>
                <w:rFonts w:asciiTheme="minorHAnsi" w:hAnsiTheme="minorHAnsi"/>
                <w:color w:val="auto"/>
                <w:sz w:val="20"/>
              </w:rPr>
            </w:pPr>
            <w:r w:rsidRPr="00921A85">
              <w:rPr>
                <w:rFonts w:asciiTheme="minorHAnsi" w:hAnsiTheme="minorHAnsi"/>
                <w:color w:val="auto"/>
                <w:sz w:val="20"/>
              </w:rPr>
              <w:t>1, 2, 3, 4</w:t>
            </w:r>
          </w:p>
        </w:tc>
      </w:tr>
      <w:tr w:rsidR="00C92A32" w:rsidRPr="00A123E7" w14:paraId="250F7A34" w14:textId="77777777" w:rsidTr="004714E0">
        <w:tc>
          <w:tcPr>
            <w:tcW w:w="3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5879F7" w14:textId="77777777" w:rsidR="00C92A32" w:rsidRPr="00921A85" w:rsidRDefault="00C92A32" w:rsidP="00C92A32">
            <w:pPr>
              <w:rPr>
                <w:sz w:val="20"/>
                <w:szCs w:val="20"/>
              </w:rPr>
            </w:pPr>
            <w:r w:rsidRPr="00921A85">
              <w:rPr>
                <w:sz w:val="20"/>
                <w:szCs w:val="20"/>
              </w:rPr>
              <w:t xml:space="preserve">1:1 Precision Teaching </w:t>
            </w:r>
          </w:p>
        </w:tc>
        <w:tc>
          <w:tcPr>
            <w:tcW w:w="5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BD365" w14:textId="77777777" w:rsidR="00C92A32" w:rsidRPr="00921A85" w:rsidRDefault="00C92A32" w:rsidP="00C92A32">
            <w:pPr>
              <w:numPr>
                <w:ilvl w:val="0"/>
                <w:numId w:val="12"/>
              </w:numPr>
              <w:spacing w:after="0" w:line="240" w:lineRule="auto"/>
              <w:rPr>
                <w:sz w:val="20"/>
                <w:szCs w:val="20"/>
              </w:rPr>
            </w:pPr>
            <w:r w:rsidRPr="00921A85">
              <w:rPr>
                <w:sz w:val="20"/>
                <w:szCs w:val="20"/>
              </w:rPr>
              <w:t>EEF Toolkit, potential +5 months gain</w:t>
            </w:r>
          </w:p>
          <w:p w14:paraId="22F99B4A" w14:textId="77777777" w:rsidR="00C92A32" w:rsidRPr="00921A85" w:rsidRDefault="00C92A32" w:rsidP="00C92A32">
            <w:pPr>
              <w:numPr>
                <w:ilvl w:val="0"/>
                <w:numId w:val="12"/>
              </w:numPr>
              <w:spacing w:after="0" w:line="240" w:lineRule="auto"/>
              <w:rPr>
                <w:sz w:val="20"/>
                <w:szCs w:val="20"/>
              </w:rPr>
            </w:pPr>
            <w:r w:rsidRPr="00921A85">
              <w:rPr>
                <w:sz w:val="20"/>
                <w:szCs w:val="20"/>
              </w:rPr>
              <w:t>Regular, brief sessions, repeated continually throughout the week offering consolidated learning for pupils with additional needs / significant gaps</w:t>
            </w:r>
          </w:p>
          <w:p w14:paraId="5CC7384D" w14:textId="77777777" w:rsidR="00C92A32" w:rsidRPr="00921A85" w:rsidRDefault="00C92A32" w:rsidP="00C92A32">
            <w:pPr>
              <w:numPr>
                <w:ilvl w:val="0"/>
                <w:numId w:val="12"/>
              </w:numPr>
              <w:spacing w:after="0" w:line="240" w:lineRule="auto"/>
              <w:rPr>
                <w:sz w:val="20"/>
                <w:szCs w:val="20"/>
              </w:rPr>
            </w:pPr>
            <w:r w:rsidRPr="00921A85">
              <w:rPr>
                <w:sz w:val="20"/>
                <w:szCs w:val="20"/>
              </w:rPr>
              <w:t>All TA staff have received specialist CPD for precision teaching methodology</w:t>
            </w:r>
          </w:p>
          <w:p w14:paraId="61C7DAAE" w14:textId="77777777" w:rsidR="00C92A32" w:rsidRPr="00921A85" w:rsidRDefault="00C92A32" w:rsidP="00C92A32">
            <w:pPr>
              <w:numPr>
                <w:ilvl w:val="0"/>
                <w:numId w:val="12"/>
              </w:numPr>
              <w:spacing w:after="0" w:line="240" w:lineRule="auto"/>
              <w:rPr>
                <w:sz w:val="20"/>
                <w:szCs w:val="20"/>
              </w:rPr>
            </w:pPr>
            <w:r w:rsidRPr="00921A85">
              <w:rPr>
                <w:sz w:val="20"/>
                <w:szCs w:val="20"/>
              </w:rPr>
              <w:t>Precision teaching follows clear plan / structure</w:t>
            </w:r>
          </w:p>
          <w:p w14:paraId="5BADC99A" w14:textId="77777777" w:rsidR="00C92A32" w:rsidRDefault="00C92A32" w:rsidP="00C92A32">
            <w:pPr>
              <w:numPr>
                <w:ilvl w:val="0"/>
                <w:numId w:val="12"/>
              </w:numPr>
              <w:spacing w:after="0" w:line="240" w:lineRule="auto"/>
              <w:rPr>
                <w:sz w:val="20"/>
                <w:szCs w:val="20"/>
              </w:rPr>
            </w:pPr>
            <w:r w:rsidRPr="00921A85">
              <w:rPr>
                <w:sz w:val="20"/>
                <w:szCs w:val="20"/>
              </w:rPr>
              <w:t>Academic Mentor approach via NTP proven to raise standards</w:t>
            </w:r>
          </w:p>
          <w:p w14:paraId="4B1D36F4" w14:textId="21413CC2" w:rsidR="009D23B1" w:rsidRPr="009D23B1" w:rsidRDefault="009D23B1" w:rsidP="009D23B1">
            <w:pPr>
              <w:numPr>
                <w:ilvl w:val="0"/>
                <w:numId w:val="12"/>
              </w:numPr>
              <w:spacing w:after="0" w:line="240" w:lineRule="auto"/>
              <w:rPr>
                <w:sz w:val="20"/>
                <w:szCs w:val="20"/>
              </w:rPr>
            </w:pPr>
            <w:hyperlink r:id="rId15" w:history="1">
              <w:r w:rsidRPr="00921A85">
                <w:rPr>
                  <w:color w:val="0070C0"/>
                  <w:sz w:val="20"/>
                  <w:szCs w:val="20"/>
                  <w:u w:val="single"/>
                </w:rPr>
                <w:t>EEF - One to one tuition</w:t>
              </w:r>
            </w:hyperlink>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1FE24" w14:textId="77777777" w:rsidR="00C92A32" w:rsidRPr="00921A85" w:rsidRDefault="00C92A32" w:rsidP="00C92A32">
            <w:pPr>
              <w:pStyle w:val="TableRowCentered"/>
              <w:jc w:val="left"/>
              <w:rPr>
                <w:rFonts w:asciiTheme="minorHAnsi" w:hAnsiTheme="minorHAnsi"/>
                <w:color w:val="auto"/>
                <w:sz w:val="20"/>
              </w:rPr>
            </w:pPr>
            <w:r w:rsidRPr="00921A85">
              <w:rPr>
                <w:rFonts w:asciiTheme="minorHAnsi" w:hAnsiTheme="minorHAnsi"/>
                <w:color w:val="auto"/>
                <w:sz w:val="20"/>
              </w:rPr>
              <w:t>3, 4</w:t>
            </w:r>
          </w:p>
        </w:tc>
      </w:tr>
      <w:tr w:rsidR="00C92A32" w:rsidRPr="00A123E7" w14:paraId="63C24733" w14:textId="77777777" w:rsidTr="004714E0">
        <w:tc>
          <w:tcPr>
            <w:tcW w:w="3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FEF89" w14:textId="77777777" w:rsidR="00C92A32" w:rsidRPr="00921A85" w:rsidRDefault="00C92A32" w:rsidP="00C92A32">
            <w:pPr>
              <w:rPr>
                <w:sz w:val="20"/>
                <w:szCs w:val="20"/>
              </w:rPr>
            </w:pPr>
            <w:r w:rsidRPr="00921A85">
              <w:rPr>
                <w:sz w:val="20"/>
                <w:szCs w:val="20"/>
              </w:rPr>
              <w:t>Class based TA support – increased TA support to provide necessary cover for pupils with additional needs.</w:t>
            </w:r>
          </w:p>
        </w:tc>
        <w:tc>
          <w:tcPr>
            <w:tcW w:w="5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54206" w14:textId="77777777" w:rsidR="00C92A32" w:rsidRPr="00921A85" w:rsidRDefault="00C92A32" w:rsidP="00C92A32">
            <w:pPr>
              <w:numPr>
                <w:ilvl w:val="0"/>
                <w:numId w:val="12"/>
              </w:numPr>
              <w:spacing w:after="0" w:line="240" w:lineRule="auto"/>
              <w:rPr>
                <w:sz w:val="20"/>
                <w:szCs w:val="20"/>
              </w:rPr>
            </w:pPr>
            <w:r w:rsidRPr="00921A85">
              <w:rPr>
                <w:sz w:val="20"/>
                <w:szCs w:val="20"/>
              </w:rPr>
              <w:t xml:space="preserve">“TAs should be deployed in a way that supplements, not replaces the teacher” (EEF </w:t>
            </w:r>
            <w:proofErr w:type="spellStart"/>
            <w:r w:rsidRPr="00921A85">
              <w:rPr>
                <w:sz w:val="20"/>
                <w:szCs w:val="20"/>
              </w:rPr>
              <w:t>GtSSP</w:t>
            </w:r>
            <w:proofErr w:type="spellEnd"/>
            <w:r w:rsidRPr="00921A85">
              <w:rPr>
                <w:sz w:val="20"/>
                <w:szCs w:val="20"/>
              </w:rPr>
              <w:t>, p16)</w:t>
            </w:r>
          </w:p>
          <w:p w14:paraId="69629F31" w14:textId="77777777" w:rsidR="00C92A32" w:rsidRPr="00921A85" w:rsidRDefault="00C92A32" w:rsidP="00C92A32">
            <w:pPr>
              <w:numPr>
                <w:ilvl w:val="0"/>
                <w:numId w:val="12"/>
              </w:numPr>
              <w:spacing w:after="0" w:line="240" w:lineRule="auto"/>
              <w:rPr>
                <w:sz w:val="20"/>
                <w:szCs w:val="20"/>
              </w:rPr>
            </w:pPr>
            <w:r w:rsidRPr="00921A85">
              <w:rPr>
                <w:sz w:val="20"/>
                <w:szCs w:val="20"/>
              </w:rPr>
              <w:t>TA hours increased to accommodate moved-in high needs pupils and prevent negative impact on other children</w:t>
            </w:r>
          </w:p>
          <w:p w14:paraId="078211CA" w14:textId="77777777" w:rsidR="00C92A32" w:rsidRPr="00921A85" w:rsidRDefault="00C92A32" w:rsidP="00C92A32">
            <w:pPr>
              <w:numPr>
                <w:ilvl w:val="0"/>
                <w:numId w:val="12"/>
              </w:numPr>
              <w:spacing w:after="0" w:line="240" w:lineRule="auto"/>
              <w:rPr>
                <w:sz w:val="20"/>
                <w:szCs w:val="20"/>
              </w:rPr>
            </w:pPr>
            <w:r w:rsidRPr="00921A85">
              <w:rPr>
                <w:sz w:val="20"/>
                <w:szCs w:val="20"/>
              </w:rPr>
              <w:t>TA deployment avoids allocation to LPA groups</w:t>
            </w:r>
          </w:p>
          <w:p w14:paraId="23F136F2" w14:textId="325BDD8C" w:rsidR="00C92A32" w:rsidRDefault="00C92A32" w:rsidP="00C92A32">
            <w:pPr>
              <w:numPr>
                <w:ilvl w:val="0"/>
                <w:numId w:val="12"/>
              </w:numPr>
              <w:spacing w:after="0" w:line="240" w:lineRule="auto"/>
              <w:rPr>
                <w:sz w:val="20"/>
                <w:szCs w:val="20"/>
              </w:rPr>
            </w:pPr>
            <w:r w:rsidRPr="00921A85">
              <w:rPr>
                <w:sz w:val="20"/>
                <w:szCs w:val="20"/>
              </w:rPr>
              <w:t>Significant emphasis placed on supporting relationships and developing pupils’ independent learning skills</w:t>
            </w:r>
          </w:p>
          <w:p w14:paraId="77D59D1B" w14:textId="0E542D22" w:rsidR="00C92A32" w:rsidRPr="009D23B1" w:rsidRDefault="009D23B1" w:rsidP="009D23B1">
            <w:pPr>
              <w:numPr>
                <w:ilvl w:val="0"/>
                <w:numId w:val="12"/>
              </w:numPr>
              <w:spacing w:after="0" w:line="240" w:lineRule="auto"/>
              <w:rPr>
                <w:sz w:val="20"/>
                <w:szCs w:val="20"/>
              </w:rPr>
            </w:pPr>
            <w:hyperlink r:id="rId16" w:history="1">
              <w:r w:rsidRPr="00921A85">
                <w:rPr>
                  <w:color w:val="0070C0"/>
                  <w:sz w:val="20"/>
                  <w:szCs w:val="20"/>
                  <w:u w:val="single"/>
                </w:rPr>
                <w:t>EEF - Small group tuition</w:t>
              </w:r>
            </w:hyperlink>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901AE" w14:textId="77777777" w:rsidR="00C92A32" w:rsidRPr="00921A85" w:rsidRDefault="00C92A32" w:rsidP="00C92A32">
            <w:pPr>
              <w:pStyle w:val="TableRowCentered"/>
              <w:jc w:val="left"/>
              <w:rPr>
                <w:rFonts w:asciiTheme="minorHAnsi" w:hAnsiTheme="minorHAnsi"/>
                <w:color w:val="auto"/>
                <w:sz w:val="20"/>
              </w:rPr>
            </w:pPr>
            <w:r w:rsidRPr="00921A85">
              <w:rPr>
                <w:rFonts w:asciiTheme="minorHAnsi" w:hAnsiTheme="minorHAnsi"/>
                <w:color w:val="auto"/>
                <w:sz w:val="20"/>
              </w:rPr>
              <w:t>1, 2, 3, 4</w:t>
            </w:r>
          </w:p>
        </w:tc>
      </w:tr>
      <w:tr w:rsidR="00921A85" w:rsidRPr="00A123E7" w14:paraId="55A34DA5" w14:textId="77777777" w:rsidTr="004714E0">
        <w:tc>
          <w:tcPr>
            <w:tcW w:w="3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26B4F" w14:textId="77777777" w:rsidR="00921A85" w:rsidRPr="00921A85" w:rsidRDefault="00921A85" w:rsidP="00921A85">
            <w:pPr>
              <w:rPr>
                <w:sz w:val="20"/>
                <w:szCs w:val="20"/>
              </w:rPr>
            </w:pPr>
            <w:r w:rsidRPr="00921A85">
              <w:rPr>
                <w:sz w:val="20"/>
                <w:szCs w:val="20"/>
              </w:rPr>
              <w:t xml:space="preserve">IDL Intervention – increased TA hours to extend school day to provide oversight of SEND. </w:t>
            </w:r>
          </w:p>
        </w:tc>
        <w:tc>
          <w:tcPr>
            <w:tcW w:w="5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4B923C" w14:textId="77777777" w:rsidR="00921A85" w:rsidRPr="00921A85" w:rsidRDefault="00921A85" w:rsidP="00921A85">
            <w:pPr>
              <w:numPr>
                <w:ilvl w:val="0"/>
                <w:numId w:val="12"/>
              </w:numPr>
              <w:spacing w:after="0" w:line="240" w:lineRule="auto"/>
              <w:rPr>
                <w:sz w:val="20"/>
                <w:szCs w:val="20"/>
              </w:rPr>
            </w:pPr>
            <w:r w:rsidRPr="00921A85">
              <w:rPr>
                <w:sz w:val="20"/>
                <w:szCs w:val="20"/>
              </w:rPr>
              <w:t xml:space="preserve">“Schools should adopt one or two well-chosen and well-implemented interventions, judiciously used to complement and extend class-based teaching and learning” (EEF </w:t>
            </w:r>
            <w:proofErr w:type="spellStart"/>
            <w:r w:rsidRPr="00921A85">
              <w:rPr>
                <w:sz w:val="20"/>
                <w:szCs w:val="20"/>
              </w:rPr>
              <w:t>GtSSP</w:t>
            </w:r>
            <w:proofErr w:type="spellEnd"/>
            <w:r w:rsidRPr="00921A85">
              <w:rPr>
                <w:sz w:val="20"/>
                <w:szCs w:val="20"/>
              </w:rPr>
              <w:t>, p16)</w:t>
            </w:r>
          </w:p>
          <w:p w14:paraId="3A35EE26" w14:textId="77777777" w:rsidR="00921A85" w:rsidRPr="00921A85" w:rsidRDefault="00921A85" w:rsidP="00921A85">
            <w:pPr>
              <w:numPr>
                <w:ilvl w:val="0"/>
                <w:numId w:val="12"/>
              </w:numPr>
              <w:spacing w:after="0" w:line="240" w:lineRule="auto"/>
              <w:rPr>
                <w:sz w:val="20"/>
                <w:szCs w:val="20"/>
              </w:rPr>
            </w:pPr>
            <w:r w:rsidRPr="00921A85">
              <w:rPr>
                <w:sz w:val="20"/>
                <w:szCs w:val="20"/>
              </w:rPr>
              <w:t>Digital platform intervention with clear structure and format</w:t>
            </w:r>
          </w:p>
          <w:p w14:paraId="41FE064A" w14:textId="6612CB26" w:rsidR="009D23B1" w:rsidRPr="009D23B1" w:rsidRDefault="00921A85" w:rsidP="009D23B1">
            <w:pPr>
              <w:numPr>
                <w:ilvl w:val="0"/>
                <w:numId w:val="12"/>
              </w:numPr>
              <w:spacing w:after="0" w:line="240" w:lineRule="auto"/>
              <w:rPr>
                <w:sz w:val="20"/>
                <w:szCs w:val="20"/>
              </w:rPr>
            </w:pPr>
            <w:r w:rsidRPr="00921A85">
              <w:rPr>
                <w:sz w:val="20"/>
                <w:szCs w:val="20"/>
              </w:rPr>
              <w:t>Research-based, evidence informed approach</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42098" w14:textId="77777777" w:rsidR="00921A85" w:rsidRPr="00921A85" w:rsidRDefault="00921A85" w:rsidP="00921A85">
            <w:pPr>
              <w:pStyle w:val="TableRowCentered"/>
              <w:jc w:val="left"/>
              <w:rPr>
                <w:rFonts w:asciiTheme="minorHAnsi" w:hAnsiTheme="minorHAnsi"/>
                <w:color w:val="auto"/>
                <w:sz w:val="20"/>
              </w:rPr>
            </w:pPr>
            <w:r w:rsidRPr="00921A85">
              <w:rPr>
                <w:rFonts w:asciiTheme="minorHAnsi" w:hAnsiTheme="minorHAnsi"/>
                <w:color w:val="auto"/>
                <w:sz w:val="20"/>
              </w:rPr>
              <w:t>3</w:t>
            </w:r>
          </w:p>
        </w:tc>
      </w:tr>
      <w:tr w:rsidR="00921A85" w:rsidRPr="00A123E7" w14:paraId="01DA8611" w14:textId="77777777" w:rsidTr="004714E0">
        <w:tc>
          <w:tcPr>
            <w:tcW w:w="3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69864" w14:textId="77777777" w:rsidR="00921A85" w:rsidRPr="00921A85" w:rsidRDefault="00921A85" w:rsidP="00921A85">
            <w:pPr>
              <w:rPr>
                <w:sz w:val="20"/>
                <w:szCs w:val="20"/>
              </w:rPr>
            </w:pPr>
            <w:r w:rsidRPr="00921A85">
              <w:rPr>
                <w:sz w:val="20"/>
                <w:szCs w:val="20"/>
              </w:rPr>
              <w:t>Specific SEND Support (e.g. for self-regulation and management)</w:t>
            </w:r>
          </w:p>
        </w:tc>
        <w:tc>
          <w:tcPr>
            <w:tcW w:w="5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13248" w14:textId="77777777" w:rsidR="00921A85" w:rsidRPr="00921A85" w:rsidRDefault="00921A85" w:rsidP="00921A85">
            <w:pPr>
              <w:numPr>
                <w:ilvl w:val="0"/>
                <w:numId w:val="12"/>
              </w:numPr>
              <w:spacing w:after="0" w:line="240" w:lineRule="auto"/>
              <w:rPr>
                <w:sz w:val="20"/>
                <w:szCs w:val="20"/>
              </w:rPr>
            </w:pPr>
            <w:r w:rsidRPr="00921A85">
              <w:rPr>
                <w:sz w:val="20"/>
                <w:szCs w:val="20"/>
              </w:rPr>
              <w:t xml:space="preserve">“Self-regulated learners can see larger tasks as a series of smaller, more manageable steps” (EEG, </w:t>
            </w:r>
            <w:proofErr w:type="spellStart"/>
            <w:r w:rsidRPr="00921A85">
              <w:rPr>
                <w:sz w:val="20"/>
                <w:szCs w:val="20"/>
              </w:rPr>
              <w:t>GtSSP</w:t>
            </w:r>
            <w:proofErr w:type="spellEnd"/>
            <w:r w:rsidRPr="00921A85">
              <w:rPr>
                <w:sz w:val="20"/>
                <w:szCs w:val="20"/>
              </w:rPr>
              <w:t>, p18)</w:t>
            </w:r>
          </w:p>
          <w:p w14:paraId="0AA2DB09" w14:textId="77777777" w:rsidR="00921A85" w:rsidRPr="00777FBC" w:rsidRDefault="00921A85" w:rsidP="00777FBC">
            <w:pPr>
              <w:numPr>
                <w:ilvl w:val="0"/>
                <w:numId w:val="12"/>
              </w:numPr>
              <w:spacing w:after="0" w:line="240" w:lineRule="auto"/>
              <w:rPr>
                <w:sz w:val="20"/>
                <w:szCs w:val="20"/>
              </w:rPr>
            </w:pPr>
            <w:r w:rsidRPr="00921A85">
              <w:rPr>
                <w:sz w:val="20"/>
                <w:szCs w:val="20"/>
              </w:rPr>
              <w:t xml:space="preserve">A number of our high needs pupils struggle with self-regulation (as do other children); specific TA support to break learning down into small steps will support self-regulation and engagement, especially when addressing gaps. </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9AACF" w14:textId="77777777" w:rsidR="00921A85" w:rsidRPr="00921A85" w:rsidRDefault="00921A85" w:rsidP="00921A85">
            <w:pPr>
              <w:pStyle w:val="TableRowCentered"/>
              <w:jc w:val="left"/>
              <w:rPr>
                <w:rFonts w:asciiTheme="minorHAnsi" w:hAnsiTheme="minorHAnsi"/>
                <w:color w:val="auto"/>
                <w:sz w:val="20"/>
              </w:rPr>
            </w:pPr>
            <w:r w:rsidRPr="00921A85">
              <w:rPr>
                <w:rFonts w:asciiTheme="minorHAnsi" w:hAnsiTheme="minorHAnsi"/>
                <w:color w:val="auto"/>
                <w:sz w:val="20"/>
              </w:rPr>
              <w:t xml:space="preserve">3, 5 </w:t>
            </w:r>
          </w:p>
        </w:tc>
      </w:tr>
    </w:tbl>
    <w:p w14:paraId="3755FCDD" w14:textId="77777777" w:rsidR="006169BC" w:rsidRPr="001F4AAE" w:rsidRDefault="006169BC" w:rsidP="00A123E7">
      <w:pPr>
        <w:pStyle w:val="Heading3"/>
        <w:spacing w:before="240"/>
      </w:pPr>
      <w:r w:rsidRPr="001F4AAE">
        <w:lastRenderedPageBreak/>
        <w:t>Wider strategies (for example, related to attendance, behaviour, wellbeing)</w:t>
      </w:r>
    </w:p>
    <w:p w14:paraId="78D27716" w14:textId="4556FFF3" w:rsidR="006169BC" w:rsidRPr="00846A99" w:rsidRDefault="00846A99" w:rsidP="00846A99">
      <w:pPr>
        <w:rPr>
          <w:sz w:val="20"/>
        </w:rPr>
      </w:pPr>
      <w:r w:rsidRPr="00846A99">
        <w:rPr>
          <w:sz w:val="20"/>
        </w:rPr>
        <w:t>Budgeted cost</w:t>
      </w:r>
      <w:r>
        <w:rPr>
          <w:sz w:val="20"/>
        </w:rPr>
        <w:t xml:space="preserve"> from Pupil Premium / Recovery Premium</w:t>
      </w:r>
      <w:r w:rsidR="006169BC" w:rsidRPr="00846A99">
        <w:rPr>
          <w:sz w:val="20"/>
        </w:rPr>
        <w:t xml:space="preserve">: </w:t>
      </w:r>
      <w:r w:rsidR="006169BC" w:rsidRPr="00846A99">
        <w:rPr>
          <w:b/>
          <w:bCs/>
          <w:sz w:val="20"/>
        </w:rPr>
        <w:t>£</w:t>
      </w:r>
      <w:r w:rsidR="00F71180">
        <w:rPr>
          <w:b/>
          <w:bCs/>
          <w:sz w:val="20"/>
        </w:rPr>
        <w:t>7</w:t>
      </w:r>
      <w:r w:rsidR="006169BC" w:rsidRPr="00846A99">
        <w:rPr>
          <w:b/>
          <w:bCs/>
          <w:sz w:val="20"/>
        </w:rPr>
        <w:t>00</w:t>
      </w:r>
      <w:r>
        <w:rPr>
          <w:b/>
          <w:bCs/>
          <w:sz w:val="20"/>
        </w:rPr>
        <w:t xml:space="preserve"> </w:t>
      </w:r>
    </w:p>
    <w:tbl>
      <w:tblPr>
        <w:tblW w:w="5000" w:type="pct"/>
        <w:tblLayout w:type="fixed"/>
        <w:tblCellMar>
          <w:left w:w="10" w:type="dxa"/>
          <w:right w:w="10" w:type="dxa"/>
        </w:tblCellMar>
        <w:tblLook w:val="04A0" w:firstRow="1" w:lastRow="0" w:firstColumn="1" w:lastColumn="0" w:noHBand="0" w:noVBand="1"/>
      </w:tblPr>
      <w:tblGrid>
        <w:gridCol w:w="3256"/>
        <w:gridCol w:w="5512"/>
        <w:gridCol w:w="1688"/>
      </w:tblGrid>
      <w:tr w:rsidR="006169BC" w:rsidRPr="001F4AAE" w14:paraId="6CD342C1" w14:textId="77777777" w:rsidTr="00921A85">
        <w:tc>
          <w:tcPr>
            <w:tcW w:w="325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3D2F7ECE" w14:textId="77777777" w:rsidR="006169BC" w:rsidRPr="00921A85" w:rsidRDefault="006169BC" w:rsidP="0087531D">
            <w:pPr>
              <w:pStyle w:val="TableHeader"/>
              <w:jc w:val="left"/>
              <w:rPr>
                <w:rFonts w:asciiTheme="minorHAnsi" w:hAnsiTheme="minorHAnsi"/>
                <w:sz w:val="20"/>
                <w:szCs w:val="20"/>
              </w:rPr>
            </w:pPr>
            <w:r w:rsidRPr="00921A85">
              <w:rPr>
                <w:rFonts w:asciiTheme="minorHAnsi" w:hAnsiTheme="minorHAnsi"/>
                <w:sz w:val="20"/>
                <w:szCs w:val="20"/>
              </w:rPr>
              <w:t>Activity</w:t>
            </w:r>
          </w:p>
        </w:tc>
        <w:tc>
          <w:tcPr>
            <w:tcW w:w="551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62206965" w14:textId="77777777" w:rsidR="006169BC" w:rsidRPr="00921A85" w:rsidRDefault="006169BC" w:rsidP="0087531D">
            <w:pPr>
              <w:pStyle w:val="TableHeader"/>
              <w:jc w:val="left"/>
              <w:rPr>
                <w:rFonts w:asciiTheme="minorHAnsi" w:hAnsiTheme="minorHAnsi"/>
                <w:sz w:val="20"/>
                <w:szCs w:val="20"/>
              </w:rPr>
            </w:pPr>
            <w:r w:rsidRPr="00921A85">
              <w:rPr>
                <w:rFonts w:asciiTheme="minorHAnsi" w:hAnsiTheme="minorHAnsi"/>
                <w:sz w:val="20"/>
                <w:szCs w:val="20"/>
              </w:rPr>
              <w:t>Evidence that supports this approach</w:t>
            </w:r>
          </w:p>
        </w:tc>
        <w:tc>
          <w:tcPr>
            <w:tcW w:w="1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10782940" w14:textId="77777777" w:rsidR="006169BC" w:rsidRPr="00921A85" w:rsidRDefault="006169BC" w:rsidP="0087531D">
            <w:pPr>
              <w:pStyle w:val="TableHeader"/>
              <w:jc w:val="left"/>
              <w:rPr>
                <w:rFonts w:asciiTheme="minorHAnsi" w:hAnsiTheme="minorHAnsi"/>
                <w:sz w:val="20"/>
                <w:szCs w:val="20"/>
              </w:rPr>
            </w:pPr>
            <w:r w:rsidRPr="00921A85">
              <w:rPr>
                <w:rFonts w:asciiTheme="minorHAnsi" w:hAnsiTheme="minorHAnsi"/>
                <w:sz w:val="20"/>
                <w:szCs w:val="20"/>
              </w:rPr>
              <w:t>Challenge number(s) addressed</w:t>
            </w:r>
          </w:p>
        </w:tc>
      </w:tr>
      <w:tr w:rsidR="00921A85" w:rsidRPr="001F4AAE" w14:paraId="08BEC8D9" w14:textId="77777777" w:rsidTr="00921A85">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4E364" w14:textId="77777777" w:rsidR="00921A85" w:rsidRPr="00921A85" w:rsidRDefault="00921A85" w:rsidP="00921A85">
            <w:pPr>
              <w:rPr>
                <w:sz w:val="20"/>
                <w:szCs w:val="20"/>
              </w:rPr>
            </w:pPr>
            <w:r w:rsidRPr="00921A85">
              <w:rPr>
                <w:sz w:val="20"/>
                <w:szCs w:val="20"/>
              </w:rPr>
              <w:t>Pastoral Support, reactive and proactive; delivered by ATAs trained to Compass L3 with additional areas of specific expertise.</w:t>
            </w:r>
          </w:p>
        </w:tc>
        <w:tc>
          <w:tcPr>
            <w:tcW w:w="5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46824" w14:textId="77777777" w:rsidR="00921A85" w:rsidRPr="00921A85" w:rsidRDefault="00921A85" w:rsidP="00921A85">
            <w:pPr>
              <w:numPr>
                <w:ilvl w:val="0"/>
                <w:numId w:val="12"/>
              </w:numPr>
              <w:spacing w:after="0" w:line="240" w:lineRule="auto"/>
              <w:rPr>
                <w:sz w:val="20"/>
                <w:szCs w:val="20"/>
              </w:rPr>
            </w:pPr>
            <w:r w:rsidRPr="00921A85">
              <w:rPr>
                <w:sz w:val="20"/>
                <w:szCs w:val="20"/>
              </w:rPr>
              <w:t xml:space="preserve">“[Schools need] sustained focus on supporting and monitoring pupils’ social, emotional and behavioural needs” (EEF </w:t>
            </w:r>
            <w:proofErr w:type="spellStart"/>
            <w:r w:rsidRPr="00921A85">
              <w:rPr>
                <w:sz w:val="20"/>
                <w:szCs w:val="20"/>
              </w:rPr>
              <w:t>GtSSP</w:t>
            </w:r>
            <w:proofErr w:type="spellEnd"/>
            <w:r w:rsidRPr="00921A85">
              <w:rPr>
                <w:sz w:val="20"/>
                <w:szCs w:val="20"/>
              </w:rPr>
              <w:t>, p19)</w:t>
            </w:r>
          </w:p>
          <w:p w14:paraId="479C0DCF" w14:textId="77777777" w:rsidR="00921A85" w:rsidRPr="00921A85" w:rsidRDefault="00921A85" w:rsidP="00921A85">
            <w:pPr>
              <w:numPr>
                <w:ilvl w:val="0"/>
                <w:numId w:val="12"/>
              </w:numPr>
              <w:spacing w:after="0" w:line="240" w:lineRule="auto"/>
              <w:rPr>
                <w:sz w:val="20"/>
                <w:szCs w:val="20"/>
              </w:rPr>
            </w:pPr>
            <w:r w:rsidRPr="00921A85">
              <w:rPr>
                <w:sz w:val="20"/>
                <w:szCs w:val="20"/>
              </w:rPr>
              <w:t xml:space="preserve">Children need to be ready to learn; high incidence of pastoral issues which must be addressed in advance if ‘catch up’ learning is to be attempted. </w:t>
            </w:r>
          </w:p>
          <w:p w14:paraId="48CAAB25" w14:textId="77777777" w:rsidR="00921A85" w:rsidRPr="00921A85" w:rsidRDefault="00921A85" w:rsidP="00921A85">
            <w:pPr>
              <w:numPr>
                <w:ilvl w:val="0"/>
                <w:numId w:val="12"/>
              </w:numPr>
              <w:spacing w:after="0" w:line="240" w:lineRule="auto"/>
              <w:rPr>
                <w:sz w:val="20"/>
                <w:szCs w:val="20"/>
              </w:rPr>
            </w:pPr>
            <w:r w:rsidRPr="00921A85">
              <w:rPr>
                <w:sz w:val="20"/>
                <w:szCs w:val="20"/>
              </w:rPr>
              <w:t xml:space="preserve">TAs embedded in Key Stage Teams and thus able to intervene responsively and rapidly when required. </w:t>
            </w: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8854" w14:textId="77777777" w:rsidR="00921A85" w:rsidRPr="00921A85" w:rsidRDefault="00921A85" w:rsidP="00921A85">
            <w:pPr>
              <w:pStyle w:val="TableRowCentered"/>
              <w:jc w:val="left"/>
              <w:rPr>
                <w:rFonts w:asciiTheme="minorHAnsi" w:hAnsiTheme="minorHAnsi"/>
                <w:color w:val="auto"/>
                <w:sz w:val="20"/>
              </w:rPr>
            </w:pPr>
            <w:r w:rsidRPr="00921A85">
              <w:rPr>
                <w:rFonts w:asciiTheme="minorHAnsi" w:hAnsiTheme="minorHAnsi"/>
                <w:color w:val="auto"/>
                <w:sz w:val="20"/>
              </w:rPr>
              <w:t xml:space="preserve">5, 2, 3 </w:t>
            </w:r>
          </w:p>
        </w:tc>
      </w:tr>
      <w:tr w:rsidR="00921A85" w:rsidRPr="001F4AAE" w14:paraId="68BB4BE1" w14:textId="77777777" w:rsidTr="00921A85">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20EAA" w14:textId="5C751A68" w:rsidR="00921A85" w:rsidRPr="00921A85" w:rsidRDefault="009D23B1" w:rsidP="00921A85">
            <w:pPr>
              <w:rPr>
                <w:sz w:val="20"/>
                <w:szCs w:val="20"/>
              </w:rPr>
            </w:pPr>
            <w:r>
              <w:rPr>
                <w:sz w:val="20"/>
                <w:szCs w:val="20"/>
              </w:rPr>
              <w:t>ATA led Pastoral Check-ins and wellbeing work</w:t>
            </w:r>
          </w:p>
        </w:tc>
        <w:tc>
          <w:tcPr>
            <w:tcW w:w="5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9378B" w14:textId="77777777" w:rsidR="00921A85" w:rsidRPr="00921A85" w:rsidRDefault="00921A85" w:rsidP="00921A85">
            <w:pPr>
              <w:numPr>
                <w:ilvl w:val="0"/>
                <w:numId w:val="12"/>
              </w:numPr>
              <w:spacing w:after="0" w:line="240" w:lineRule="auto"/>
              <w:rPr>
                <w:sz w:val="20"/>
                <w:szCs w:val="20"/>
              </w:rPr>
            </w:pPr>
            <w:r w:rsidRPr="00921A85">
              <w:rPr>
                <w:sz w:val="20"/>
                <w:szCs w:val="20"/>
              </w:rPr>
              <w:t xml:space="preserve">Whilst less formulaic than a planned SEL curriculum, personalised and targeted provision for children struggling with Social, Emotional and Mental Health offers opportunity for role play and behavioural rehearsal to better compute confusing feelings, especially those linked to loss and insecure attachment. </w:t>
            </w:r>
          </w:p>
          <w:p w14:paraId="1B84BAA5" w14:textId="77777777" w:rsidR="00921A85" w:rsidRPr="00921A85" w:rsidRDefault="00921A85" w:rsidP="00921A85">
            <w:pPr>
              <w:numPr>
                <w:ilvl w:val="0"/>
                <w:numId w:val="12"/>
              </w:numPr>
              <w:spacing w:after="0" w:line="240" w:lineRule="auto"/>
              <w:rPr>
                <w:sz w:val="20"/>
                <w:szCs w:val="20"/>
              </w:rPr>
            </w:pPr>
            <w:r w:rsidRPr="00921A85">
              <w:rPr>
                <w:sz w:val="20"/>
                <w:szCs w:val="20"/>
              </w:rPr>
              <w:t xml:space="preserve">Wellbeing groups have proven track record of being effective in promoting emotional regulation and thus increasing readiness for learning. </w:t>
            </w: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91C30" w14:textId="77777777" w:rsidR="00921A85" w:rsidRPr="00921A85" w:rsidRDefault="00921A85" w:rsidP="00921A85">
            <w:pPr>
              <w:pStyle w:val="TableRowCentered"/>
              <w:jc w:val="left"/>
              <w:rPr>
                <w:rFonts w:asciiTheme="minorHAnsi" w:hAnsiTheme="minorHAnsi"/>
                <w:color w:val="auto"/>
                <w:sz w:val="20"/>
              </w:rPr>
            </w:pPr>
            <w:r w:rsidRPr="00921A85">
              <w:rPr>
                <w:rFonts w:asciiTheme="minorHAnsi" w:hAnsiTheme="minorHAnsi"/>
                <w:color w:val="auto"/>
                <w:sz w:val="20"/>
              </w:rPr>
              <w:t>5</w:t>
            </w:r>
          </w:p>
        </w:tc>
      </w:tr>
      <w:tr w:rsidR="00921A85" w:rsidRPr="001F4AAE" w14:paraId="2E622502" w14:textId="77777777" w:rsidTr="00921A85">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AECE6" w14:textId="77777777" w:rsidR="00921A85" w:rsidRPr="00921A85" w:rsidRDefault="00921A85" w:rsidP="00921A85">
            <w:pPr>
              <w:rPr>
                <w:sz w:val="20"/>
                <w:szCs w:val="20"/>
              </w:rPr>
            </w:pPr>
            <w:r w:rsidRPr="00921A85">
              <w:rPr>
                <w:sz w:val="20"/>
                <w:szCs w:val="20"/>
              </w:rPr>
              <w:t>Development of SEL based curriculum</w:t>
            </w:r>
          </w:p>
        </w:tc>
        <w:tc>
          <w:tcPr>
            <w:tcW w:w="5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3F1E8D" w14:textId="77777777" w:rsidR="00921A85" w:rsidRPr="00921A85" w:rsidRDefault="00921A85" w:rsidP="00921A85">
            <w:pPr>
              <w:numPr>
                <w:ilvl w:val="0"/>
                <w:numId w:val="12"/>
              </w:numPr>
              <w:spacing w:after="0" w:line="240" w:lineRule="auto"/>
              <w:rPr>
                <w:sz w:val="20"/>
                <w:szCs w:val="20"/>
              </w:rPr>
            </w:pPr>
            <w:r w:rsidRPr="00921A85">
              <w:rPr>
                <w:sz w:val="20"/>
                <w:szCs w:val="20"/>
              </w:rPr>
              <w:t xml:space="preserve">Longer term curriculum model predicated on building SEL skills being created to improve pupil outcomes, linked to SAFE principles (EEF </w:t>
            </w:r>
            <w:proofErr w:type="spellStart"/>
            <w:r w:rsidRPr="00921A85">
              <w:rPr>
                <w:sz w:val="20"/>
                <w:szCs w:val="20"/>
              </w:rPr>
              <w:t>GtSSP</w:t>
            </w:r>
            <w:proofErr w:type="spellEnd"/>
            <w:r w:rsidRPr="00921A85">
              <w:rPr>
                <w:sz w:val="20"/>
                <w:szCs w:val="20"/>
              </w:rPr>
              <w:t>, p19)</w:t>
            </w:r>
          </w:p>
          <w:p w14:paraId="1383EFC0" w14:textId="77777777" w:rsidR="00921A85" w:rsidRPr="00921A85" w:rsidRDefault="00921A85" w:rsidP="00921A85">
            <w:pPr>
              <w:numPr>
                <w:ilvl w:val="0"/>
                <w:numId w:val="12"/>
              </w:numPr>
              <w:spacing w:after="0" w:line="240" w:lineRule="auto"/>
              <w:rPr>
                <w:sz w:val="20"/>
                <w:szCs w:val="20"/>
              </w:rPr>
            </w:pPr>
            <w:r w:rsidRPr="00921A85">
              <w:rPr>
                <w:sz w:val="20"/>
                <w:szCs w:val="20"/>
              </w:rPr>
              <w:t>RESPECT skills embedded in MTP and LTPs, and daily practice</w:t>
            </w: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915B23" w14:textId="77777777" w:rsidR="00921A85" w:rsidRPr="00921A85" w:rsidRDefault="00921A85" w:rsidP="00921A85">
            <w:pPr>
              <w:pStyle w:val="TableRowCentered"/>
              <w:jc w:val="left"/>
              <w:rPr>
                <w:rFonts w:asciiTheme="minorHAnsi" w:hAnsiTheme="minorHAnsi"/>
                <w:color w:val="auto"/>
                <w:sz w:val="20"/>
              </w:rPr>
            </w:pPr>
            <w:r w:rsidRPr="00921A85">
              <w:rPr>
                <w:rFonts w:asciiTheme="minorHAnsi" w:hAnsiTheme="minorHAnsi"/>
                <w:color w:val="auto"/>
                <w:sz w:val="20"/>
              </w:rPr>
              <w:t>5, 4, 3, 2</w:t>
            </w:r>
          </w:p>
        </w:tc>
      </w:tr>
      <w:tr w:rsidR="00921A85" w:rsidRPr="001F4AAE" w14:paraId="4F90BFDC" w14:textId="77777777" w:rsidTr="00921A85">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3288A9" w14:textId="77777777" w:rsidR="00921A85" w:rsidRPr="00921A85" w:rsidRDefault="00921A85" w:rsidP="00921A85">
            <w:pPr>
              <w:rPr>
                <w:sz w:val="20"/>
                <w:szCs w:val="20"/>
              </w:rPr>
            </w:pPr>
            <w:r w:rsidRPr="00921A85">
              <w:rPr>
                <w:sz w:val="20"/>
                <w:szCs w:val="20"/>
              </w:rPr>
              <w:t>SEL / SEMH CPD</w:t>
            </w:r>
          </w:p>
        </w:tc>
        <w:tc>
          <w:tcPr>
            <w:tcW w:w="5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16115" w14:textId="77777777" w:rsidR="00921A85" w:rsidRPr="00921A85" w:rsidRDefault="00921A85" w:rsidP="00921A85">
            <w:pPr>
              <w:numPr>
                <w:ilvl w:val="0"/>
                <w:numId w:val="12"/>
              </w:numPr>
              <w:spacing w:after="0" w:line="240" w:lineRule="auto"/>
              <w:rPr>
                <w:sz w:val="20"/>
                <w:szCs w:val="20"/>
              </w:rPr>
            </w:pPr>
            <w:r w:rsidRPr="00921A85">
              <w:rPr>
                <w:sz w:val="20"/>
                <w:szCs w:val="20"/>
              </w:rPr>
              <w:t>Ensures staff delivering interventions, pastoral work or offering 1:1 SEMH provision (e.g. to pupils with EHCPs) are fully equipped to do so with the latest, evidence-informed practice</w:t>
            </w:r>
          </w:p>
          <w:p w14:paraId="3EE64A7B" w14:textId="77777777" w:rsidR="00921A85" w:rsidRPr="00921A85" w:rsidRDefault="00921A85" w:rsidP="00921A85">
            <w:pPr>
              <w:numPr>
                <w:ilvl w:val="0"/>
                <w:numId w:val="12"/>
              </w:numPr>
              <w:spacing w:after="0" w:line="240" w:lineRule="auto"/>
              <w:rPr>
                <w:sz w:val="20"/>
                <w:szCs w:val="20"/>
              </w:rPr>
            </w:pPr>
            <w:r w:rsidRPr="00921A85">
              <w:rPr>
                <w:sz w:val="20"/>
                <w:szCs w:val="20"/>
              </w:rPr>
              <w:t>“Teachers who have received training related to SEL are more likely to agree that SEL [is] fundamental to learning” EEF SEL Strategy,</w:t>
            </w:r>
          </w:p>
          <w:p w14:paraId="23C42115" w14:textId="77777777" w:rsidR="00921A85" w:rsidRPr="00921A85" w:rsidRDefault="00921A85" w:rsidP="00921A85">
            <w:pPr>
              <w:numPr>
                <w:ilvl w:val="0"/>
                <w:numId w:val="12"/>
              </w:numPr>
              <w:spacing w:after="0" w:line="240" w:lineRule="auto"/>
              <w:rPr>
                <w:sz w:val="20"/>
                <w:szCs w:val="20"/>
              </w:rPr>
            </w:pPr>
            <w:r w:rsidRPr="00921A85">
              <w:rPr>
                <w:color w:val="0070C0"/>
                <w:sz w:val="20"/>
                <w:szCs w:val="20"/>
                <w:u w:val="single"/>
              </w:rPr>
              <w:t>EEF - Behaviour interventions</w:t>
            </w: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35F8A6" w14:textId="77777777" w:rsidR="00921A85" w:rsidRPr="00921A85" w:rsidRDefault="00921A85" w:rsidP="00921A85">
            <w:pPr>
              <w:pStyle w:val="TableRowCentered"/>
              <w:jc w:val="left"/>
              <w:rPr>
                <w:rFonts w:asciiTheme="minorHAnsi" w:hAnsiTheme="minorHAnsi"/>
                <w:color w:val="auto"/>
                <w:sz w:val="20"/>
              </w:rPr>
            </w:pPr>
            <w:r w:rsidRPr="00921A85">
              <w:rPr>
                <w:rFonts w:asciiTheme="minorHAnsi" w:hAnsiTheme="minorHAnsi"/>
                <w:color w:val="auto"/>
                <w:sz w:val="20"/>
              </w:rPr>
              <w:t>5, 4, 3</w:t>
            </w:r>
          </w:p>
        </w:tc>
      </w:tr>
    </w:tbl>
    <w:p w14:paraId="7F1D46AA" w14:textId="77777777" w:rsidR="00921A85" w:rsidRDefault="00921A85" w:rsidP="00846A99">
      <w:pPr>
        <w:pStyle w:val="Heading3"/>
      </w:pPr>
      <w:r>
        <w:t>Documents Referenced</w:t>
      </w:r>
    </w:p>
    <w:p w14:paraId="212CEF9B" w14:textId="77777777" w:rsidR="00921A85" w:rsidRPr="00613262" w:rsidRDefault="00921A85" w:rsidP="00846A99">
      <w:pPr>
        <w:numPr>
          <w:ilvl w:val="0"/>
          <w:numId w:val="12"/>
        </w:numPr>
        <w:rPr>
          <w:i/>
        </w:rPr>
      </w:pPr>
      <w:r w:rsidRPr="00613262">
        <w:rPr>
          <w:i/>
        </w:rPr>
        <w:t>The EEF Teaching and Learning Toolkit</w:t>
      </w:r>
    </w:p>
    <w:p w14:paraId="53F0CCEC" w14:textId="77777777" w:rsidR="00921A85" w:rsidRPr="00613262" w:rsidRDefault="00921A85" w:rsidP="00846A99">
      <w:pPr>
        <w:numPr>
          <w:ilvl w:val="0"/>
          <w:numId w:val="12"/>
        </w:numPr>
        <w:rPr>
          <w:i/>
        </w:rPr>
      </w:pPr>
      <w:r w:rsidRPr="00613262">
        <w:rPr>
          <w:i/>
        </w:rPr>
        <w:t xml:space="preserve">The EEF Guide to Supporting School Planning: a tiered approach to 2020-21 (EEF </w:t>
      </w:r>
      <w:proofErr w:type="spellStart"/>
      <w:r w:rsidRPr="00613262">
        <w:rPr>
          <w:i/>
        </w:rPr>
        <w:t>GtSSP</w:t>
      </w:r>
      <w:proofErr w:type="spellEnd"/>
      <w:r w:rsidRPr="00613262">
        <w:rPr>
          <w:i/>
        </w:rPr>
        <w:t>)</w:t>
      </w:r>
    </w:p>
    <w:p w14:paraId="57F25BBD" w14:textId="77777777" w:rsidR="00921A85" w:rsidRDefault="00921A85" w:rsidP="00846A99">
      <w:pPr>
        <w:numPr>
          <w:ilvl w:val="0"/>
          <w:numId w:val="12"/>
        </w:numPr>
        <w:rPr>
          <w:i/>
        </w:rPr>
      </w:pPr>
      <w:r w:rsidRPr="00613262">
        <w:rPr>
          <w:i/>
        </w:rPr>
        <w:t>Education Recovery Support for EY settings and Schools – DfE, June 2021</w:t>
      </w:r>
    </w:p>
    <w:p w14:paraId="07B651FB" w14:textId="77777777" w:rsidR="00921A85" w:rsidRPr="00613262" w:rsidRDefault="00921A85" w:rsidP="00846A99">
      <w:pPr>
        <w:numPr>
          <w:ilvl w:val="0"/>
          <w:numId w:val="12"/>
        </w:numPr>
        <w:rPr>
          <w:i/>
        </w:rPr>
      </w:pPr>
      <w:r>
        <w:rPr>
          <w:i/>
        </w:rPr>
        <w:t>Home Schooling, Understanding Society Working Paper 12 – ISER, University of Essex 2020</w:t>
      </w:r>
    </w:p>
    <w:p w14:paraId="7873C85F" w14:textId="77777777" w:rsidR="00921A85" w:rsidRPr="00613262" w:rsidRDefault="00921A85" w:rsidP="00846A99">
      <w:pPr>
        <w:numPr>
          <w:ilvl w:val="0"/>
          <w:numId w:val="12"/>
        </w:numPr>
        <w:rPr>
          <w:i/>
        </w:rPr>
      </w:pPr>
      <w:r w:rsidRPr="00613262">
        <w:rPr>
          <w:i/>
        </w:rPr>
        <w:t>The EEF Guidance Report on Improving Social and Emotional Learning in Primary Schools  (EEF SEL)</w:t>
      </w:r>
    </w:p>
    <w:p w14:paraId="43266201" w14:textId="702B0FB1" w:rsidR="006169BC" w:rsidRDefault="00846A99" w:rsidP="000B56A2">
      <w:pPr>
        <w:pStyle w:val="Heading3"/>
        <w:rPr>
          <w:b/>
        </w:rPr>
      </w:pPr>
      <w:r w:rsidRPr="00846A99">
        <w:t xml:space="preserve">Total Budgeted Cost from Pupil Premium / Recovery Premium: </w:t>
      </w:r>
      <w:r w:rsidRPr="00846A99">
        <w:rPr>
          <w:b/>
        </w:rPr>
        <w:t>£</w:t>
      </w:r>
      <w:r w:rsidR="00221EBC">
        <w:rPr>
          <w:b/>
        </w:rPr>
        <w:t>1</w:t>
      </w:r>
      <w:r w:rsidR="00F73AFB">
        <w:rPr>
          <w:b/>
        </w:rPr>
        <w:t>8</w:t>
      </w:r>
      <w:r w:rsidR="006822DB">
        <w:rPr>
          <w:b/>
        </w:rPr>
        <w:t>,</w:t>
      </w:r>
      <w:r w:rsidR="00221EBC">
        <w:rPr>
          <w:b/>
        </w:rPr>
        <w:t>700</w:t>
      </w:r>
    </w:p>
    <w:p w14:paraId="328AA4C5" w14:textId="2BAD3071" w:rsidR="00846A99" w:rsidRPr="00846A99" w:rsidRDefault="00846A99" w:rsidP="007C6B3A">
      <w:pPr>
        <w:spacing w:before="240"/>
        <w:rPr>
          <w:color w:val="000000" w:themeColor="text1"/>
          <w:sz w:val="20"/>
        </w:rPr>
      </w:pPr>
      <w:r w:rsidRPr="006822DB">
        <w:rPr>
          <w:color w:val="000000" w:themeColor="text1"/>
          <w:sz w:val="16"/>
        </w:rPr>
        <w:t>However, note: costs of delivering all of the above exceed total PP / RP allocation</w:t>
      </w:r>
      <w:r w:rsidR="006822DB">
        <w:rPr>
          <w:color w:val="000000" w:themeColor="text1"/>
          <w:sz w:val="16"/>
        </w:rPr>
        <w:t xml:space="preserve">. </w:t>
      </w:r>
      <w:r w:rsidRPr="006822DB">
        <w:rPr>
          <w:color w:val="000000" w:themeColor="text1"/>
          <w:sz w:val="16"/>
        </w:rPr>
        <w:t xml:space="preserve">Therefore, some of the </w:t>
      </w:r>
      <w:r w:rsidR="004A5C8B" w:rsidRPr="006822DB">
        <w:rPr>
          <w:color w:val="000000" w:themeColor="text1"/>
          <w:sz w:val="16"/>
        </w:rPr>
        <w:t xml:space="preserve">planned work above is also supported by our Service Pupil Premium </w:t>
      </w:r>
      <w:r w:rsidR="00390F4C" w:rsidRPr="006822DB">
        <w:rPr>
          <w:color w:val="000000" w:themeColor="text1"/>
          <w:sz w:val="16"/>
        </w:rPr>
        <w:t>a</w:t>
      </w:r>
      <w:r w:rsidR="004A5C8B" w:rsidRPr="006822DB">
        <w:rPr>
          <w:color w:val="000000" w:themeColor="text1"/>
          <w:sz w:val="16"/>
        </w:rPr>
        <w:t>llocation (particularly when it relate</w:t>
      </w:r>
      <w:r w:rsidR="00390F4C" w:rsidRPr="006822DB">
        <w:rPr>
          <w:color w:val="000000" w:themeColor="text1"/>
          <w:sz w:val="16"/>
        </w:rPr>
        <w:t>s</w:t>
      </w:r>
      <w:r w:rsidR="004A5C8B" w:rsidRPr="006822DB">
        <w:rPr>
          <w:color w:val="000000" w:themeColor="text1"/>
          <w:sz w:val="16"/>
        </w:rPr>
        <w:t xml:space="preserve"> to impact of service </w:t>
      </w:r>
      <w:r w:rsidR="00390F4C" w:rsidRPr="006822DB">
        <w:rPr>
          <w:color w:val="000000" w:themeColor="text1"/>
          <w:sz w:val="16"/>
        </w:rPr>
        <w:t>life</w:t>
      </w:r>
      <w:r w:rsidR="004A5C8B" w:rsidRPr="006822DB">
        <w:rPr>
          <w:color w:val="000000" w:themeColor="text1"/>
          <w:sz w:val="16"/>
        </w:rPr>
        <w:t>), and from our Core Budget. The total additional funding required is estimated to be in the region of £60,000.</w:t>
      </w:r>
    </w:p>
    <w:p w14:paraId="2614564A" w14:textId="77777777" w:rsidR="006169BC" w:rsidRPr="001F4AAE" w:rsidRDefault="006169BC" w:rsidP="006169BC">
      <w:pPr>
        <w:pStyle w:val="Heading1"/>
        <w:rPr>
          <w:rFonts w:asciiTheme="minorHAnsi" w:hAnsiTheme="minorHAnsi"/>
        </w:rPr>
      </w:pPr>
      <w:r w:rsidRPr="001F4AAE">
        <w:rPr>
          <w:rFonts w:asciiTheme="minorHAnsi" w:hAnsiTheme="minorHAnsi"/>
        </w:rPr>
        <w:lastRenderedPageBreak/>
        <w:t>Part B: Review of outcomes in the previous academic year</w:t>
      </w:r>
    </w:p>
    <w:p w14:paraId="753F0B34" w14:textId="77777777" w:rsidR="006169BC" w:rsidRPr="001F4AAE" w:rsidRDefault="006169BC" w:rsidP="006169BC">
      <w:pPr>
        <w:pStyle w:val="Heading2"/>
        <w:rPr>
          <w:rFonts w:asciiTheme="minorHAnsi" w:hAnsiTheme="minorHAnsi"/>
        </w:rPr>
      </w:pPr>
      <w:r w:rsidRPr="001F4AAE">
        <w:rPr>
          <w:rFonts w:asciiTheme="minorHAnsi" w:hAnsiTheme="minorHAnsi"/>
        </w:rPr>
        <w:t>Pupil premium strategy outcomes</w:t>
      </w:r>
    </w:p>
    <w:p w14:paraId="0E9DBE2F" w14:textId="167A661E" w:rsidR="006169BC" w:rsidRPr="00A123E7" w:rsidRDefault="006169BC" w:rsidP="006169BC">
      <w:pPr>
        <w:rPr>
          <w:sz w:val="20"/>
        </w:rPr>
      </w:pPr>
      <w:r w:rsidRPr="00A123E7">
        <w:rPr>
          <w:sz w:val="20"/>
        </w:rPr>
        <w:t>This details the impact that our pupil premium activity had on pupils in the 202</w:t>
      </w:r>
      <w:r w:rsidR="00221EBC">
        <w:rPr>
          <w:sz w:val="20"/>
        </w:rPr>
        <w:t>2</w:t>
      </w:r>
      <w:r w:rsidRPr="00A123E7">
        <w:rPr>
          <w:sz w:val="20"/>
        </w:rPr>
        <w:t xml:space="preserve"> to 202</w:t>
      </w:r>
      <w:r w:rsidR="00221EBC">
        <w:rPr>
          <w:sz w:val="20"/>
        </w:rPr>
        <w:t>3</w:t>
      </w:r>
      <w:r w:rsidRPr="00A123E7">
        <w:rPr>
          <w:sz w:val="20"/>
        </w:rPr>
        <w:t xml:space="preserve"> academic year. </w:t>
      </w:r>
    </w:p>
    <w:tbl>
      <w:tblPr>
        <w:tblW w:w="5000" w:type="pct"/>
        <w:tblCellMar>
          <w:left w:w="10" w:type="dxa"/>
          <w:right w:w="10" w:type="dxa"/>
        </w:tblCellMar>
        <w:tblLook w:val="04A0" w:firstRow="1" w:lastRow="0" w:firstColumn="1" w:lastColumn="0" w:noHBand="0" w:noVBand="1"/>
      </w:tblPr>
      <w:tblGrid>
        <w:gridCol w:w="10456"/>
      </w:tblGrid>
      <w:tr w:rsidR="006169BC" w:rsidRPr="00A123E7" w14:paraId="7A03EC1A" w14:textId="77777777" w:rsidTr="00A123E7">
        <w:trPr>
          <w:trHeight w:val="1102"/>
        </w:trPr>
        <w:tc>
          <w:tcPr>
            <w:tcW w:w="50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9713A" w14:textId="70FC72C5" w:rsidR="007D3D37" w:rsidRDefault="00B27ACE" w:rsidP="00E136E1">
            <w:pPr>
              <w:spacing w:before="240"/>
              <w:rPr>
                <w:color w:val="000000" w:themeColor="text1"/>
              </w:rPr>
            </w:pPr>
            <w:r>
              <w:rPr>
                <w:color w:val="000000" w:themeColor="text1"/>
              </w:rPr>
              <w:t>There w</w:t>
            </w:r>
            <w:r w:rsidR="00F057CB">
              <w:rPr>
                <w:color w:val="000000" w:themeColor="text1"/>
              </w:rPr>
              <w:t>as 1</w:t>
            </w:r>
            <w:r>
              <w:rPr>
                <w:color w:val="000000" w:themeColor="text1"/>
              </w:rPr>
              <w:t xml:space="preserve"> Disadvantaged pupil undertaking statutory assessments in KS2 last year. </w:t>
            </w:r>
            <w:r w:rsidR="00F057CB">
              <w:rPr>
                <w:color w:val="000000" w:themeColor="text1"/>
              </w:rPr>
              <w:t>This pupil had an EHCP and was not on roll for all of KS2</w:t>
            </w:r>
            <w:r w:rsidR="00921610">
              <w:rPr>
                <w:color w:val="000000" w:themeColor="text1"/>
              </w:rPr>
              <w:t>:</w:t>
            </w:r>
          </w:p>
          <w:tbl>
            <w:tblPr>
              <w:tblStyle w:val="GridTable4-Accent4"/>
              <w:tblW w:w="0" w:type="auto"/>
              <w:tblLook w:val="04A0" w:firstRow="1" w:lastRow="0" w:firstColumn="1" w:lastColumn="0" w:noHBand="0" w:noVBand="1"/>
            </w:tblPr>
            <w:tblGrid>
              <w:gridCol w:w="2390"/>
              <w:gridCol w:w="2390"/>
            </w:tblGrid>
            <w:tr w:rsidR="00F057CB" w14:paraId="64AF1914" w14:textId="77777777" w:rsidTr="00030A13">
              <w:trPr>
                <w:cnfStyle w:val="100000000000" w:firstRow="1" w:lastRow="0" w:firstColumn="0" w:lastColumn="0" w:oddVBand="0" w:evenVBand="0" w:oddHBand="0"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2390" w:type="dxa"/>
                </w:tcPr>
                <w:p w14:paraId="38ECC81D" w14:textId="77777777" w:rsidR="00F057CB" w:rsidRDefault="00F057CB" w:rsidP="00921610"/>
              </w:tc>
              <w:tc>
                <w:tcPr>
                  <w:tcW w:w="2390" w:type="dxa"/>
                </w:tcPr>
                <w:p w14:paraId="6EC5C6AA" w14:textId="77777777" w:rsidR="00F057CB" w:rsidRDefault="00F057CB" w:rsidP="00921610">
                  <w:pPr>
                    <w:jc w:val="center"/>
                    <w:cnfStyle w:val="100000000000" w:firstRow="1" w:lastRow="0" w:firstColumn="0" w:lastColumn="0" w:oddVBand="0" w:evenVBand="0" w:oddHBand="0" w:evenHBand="0" w:firstRowFirstColumn="0" w:firstRowLastColumn="0" w:lastRowFirstColumn="0" w:lastRowLastColumn="0"/>
                  </w:pPr>
                  <w:r>
                    <w:t>% DP ARE+</w:t>
                  </w:r>
                </w:p>
              </w:tc>
            </w:tr>
            <w:tr w:rsidR="00F057CB" w14:paraId="46C2CA5E" w14:textId="77777777" w:rsidTr="00030A13">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390" w:type="dxa"/>
                </w:tcPr>
                <w:p w14:paraId="2C61FA05" w14:textId="77777777" w:rsidR="00F057CB" w:rsidRDefault="00F057CB" w:rsidP="00921610">
                  <w:r>
                    <w:t>Reading</w:t>
                  </w:r>
                </w:p>
              </w:tc>
              <w:tc>
                <w:tcPr>
                  <w:tcW w:w="2390" w:type="dxa"/>
                </w:tcPr>
                <w:p w14:paraId="45C15EEB" w14:textId="375370FF" w:rsidR="00F057CB" w:rsidRDefault="00F057CB" w:rsidP="00921610">
                  <w:pPr>
                    <w:jc w:val="center"/>
                    <w:cnfStyle w:val="000000100000" w:firstRow="0" w:lastRow="0" w:firstColumn="0" w:lastColumn="0" w:oddVBand="0" w:evenVBand="0" w:oddHBand="1" w:evenHBand="0" w:firstRowFirstColumn="0" w:firstRowLastColumn="0" w:lastRowFirstColumn="0" w:lastRowLastColumn="0"/>
                  </w:pPr>
                  <w:r>
                    <w:t>100% (1)</w:t>
                  </w:r>
                </w:p>
              </w:tc>
            </w:tr>
            <w:tr w:rsidR="00F057CB" w14:paraId="35AF7165" w14:textId="77777777" w:rsidTr="00030A13">
              <w:trPr>
                <w:trHeight w:val="248"/>
              </w:trPr>
              <w:tc>
                <w:tcPr>
                  <w:cnfStyle w:val="001000000000" w:firstRow="0" w:lastRow="0" w:firstColumn="1" w:lastColumn="0" w:oddVBand="0" w:evenVBand="0" w:oddHBand="0" w:evenHBand="0" w:firstRowFirstColumn="0" w:firstRowLastColumn="0" w:lastRowFirstColumn="0" w:lastRowLastColumn="0"/>
                  <w:tcW w:w="2390" w:type="dxa"/>
                </w:tcPr>
                <w:p w14:paraId="39DA5369" w14:textId="77777777" w:rsidR="00F057CB" w:rsidRDefault="00F057CB" w:rsidP="00921610">
                  <w:r>
                    <w:t>Writing</w:t>
                  </w:r>
                </w:p>
              </w:tc>
              <w:tc>
                <w:tcPr>
                  <w:tcW w:w="2390" w:type="dxa"/>
                </w:tcPr>
                <w:p w14:paraId="07BEC621" w14:textId="19299AD8" w:rsidR="00F057CB" w:rsidRDefault="00F057CB" w:rsidP="00921610">
                  <w:pPr>
                    <w:jc w:val="center"/>
                    <w:cnfStyle w:val="000000000000" w:firstRow="0" w:lastRow="0" w:firstColumn="0" w:lastColumn="0" w:oddVBand="0" w:evenVBand="0" w:oddHBand="0" w:evenHBand="0" w:firstRowFirstColumn="0" w:firstRowLastColumn="0" w:lastRowFirstColumn="0" w:lastRowLastColumn="0"/>
                  </w:pPr>
                  <w:r>
                    <w:t>0% (0)</w:t>
                  </w:r>
                </w:p>
              </w:tc>
            </w:tr>
            <w:tr w:rsidR="00030A13" w14:paraId="43423325" w14:textId="77777777" w:rsidTr="00030A13">
              <w:trPr>
                <w:cnfStyle w:val="000000100000" w:firstRow="0" w:lastRow="0" w:firstColumn="0" w:lastColumn="0" w:oddVBand="0" w:evenVBand="0" w:oddHBand="1"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2390" w:type="dxa"/>
                </w:tcPr>
                <w:p w14:paraId="7948E491" w14:textId="18FECF05" w:rsidR="00030A13" w:rsidRDefault="00030A13" w:rsidP="00921610">
                  <w:r>
                    <w:t>Maths</w:t>
                  </w:r>
                </w:p>
              </w:tc>
              <w:tc>
                <w:tcPr>
                  <w:tcW w:w="2390" w:type="dxa"/>
                </w:tcPr>
                <w:p w14:paraId="7C75837C" w14:textId="0854873C" w:rsidR="00030A13" w:rsidRDefault="00030A13" w:rsidP="00921610">
                  <w:pPr>
                    <w:jc w:val="center"/>
                    <w:cnfStyle w:val="000000100000" w:firstRow="0" w:lastRow="0" w:firstColumn="0" w:lastColumn="0" w:oddVBand="0" w:evenVBand="0" w:oddHBand="1" w:evenHBand="0" w:firstRowFirstColumn="0" w:firstRowLastColumn="0" w:lastRowFirstColumn="0" w:lastRowLastColumn="0"/>
                  </w:pPr>
                  <w:r>
                    <w:t>0% (0)</w:t>
                  </w:r>
                </w:p>
              </w:tc>
            </w:tr>
          </w:tbl>
          <w:p w14:paraId="5495C0F4" w14:textId="6A210182" w:rsidR="00E136E1" w:rsidRDefault="00585634" w:rsidP="00E136E1">
            <w:pPr>
              <w:spacing w:before="240"/>
            </w:pPr>
            <w:r w:rsidRPr="00585634">
              <w:t>3 of 4</w:t>
            </w:r>
            <w:r>
              <w:t xml:space="preserve"> DPs passed the Y1 Phonics screening check, with 100% of DPs achieving this standard by Y2.</w:t>
            </w:r>
          </w:p>
          <w:p w14:paraId="76804D1D" w14:textId="44AA930E" w:rsidR="00AC6F87" w:rsidRPr="00585634" w:rsidRDefault="00AC6F87" w:rsidP="00E136E1">
            <w:pPr>
              <w:spacing w:before="240"/>
              <w:rPr>
                <w:color w:val="000000" w:themeColor="text1"/>
              </w:rPr>
            </w:pPr>
            <w:r>
              <w:rPr>
                <w:color w:val="000000" w:themeColor="text1"/>
              </w:rPr>
              <w:t>The average score for the 4 DPs in Y4 MTC was behind that of their non-DP peers (15 / 19).</w:t>
            </w:r>
          </w:p>
          <w:p w14:paraId="10182D1B" w14:textId="213E2A83" w:rsidR="00E136E1" w:rsidRDefault="00A2535C" w:rsidP="00E136E1">
            <w:pPr>
              <w:spacing w:before="240"/>
              <w:rPr>
                <w:color w:val="000000" w:themeColor="text1"/>
              </w:rPr>
            </w:pPr>
            <w:r>
              <w:rPr>
                <w:color w:val="000000" w:themeColor="text1"/>
              </w:rPr>
              <w:t>Wider outcomes were based on Teacher assessment, PIRA, PUMA and NTS scores. These demonstrated</w:t>
            </w:r>
            <w:r w:rsidR="00E63064">
              <w:rPr>
                <w:color w:val="000000" w:themeColor="text1"/>
              </w:rPr>
              <w:t xml:space="preserve"> </w:t>
            </w:r>
            <w:r w:rsidR="00E136E1">
              <w:rPr>
                <w:color w:val="000000" w:themeColor="text1"/>
              </w:rPr>
              <w:t xml:space="preserve"> </w:t>
            </w:r>
            <w:r w:rsidR="00E63064" w:rsidRPr="00E63064">
              <w:rPr>
                <w:color w:val="000000" w:themeColor="text1"/>
              </w:rPr>
              <w:t xml:space="preserve">DPs are largely outperforming their non-disadvantaged peers, except in writing. It is noted that 3 DPs (1/3 of all DPs) </w:t>
            </w:r>
            <w:r w:rsidR="00E63064">
              <w:rPr>
                <w:color w:val="000000" w:themeColor="text1"/>
              </w:rPr>
              <w:t>we</w:t>
            </w:r>
            <w:r w:rsidR="00E63064" w:rsidRPr="00E63064">
              <w:rPr>
                <w:color w:val="000000" w:themeColor="text1"/>
              </w:rPr>
              <w:t xml:space="preserve">re in Y1 so were affected by </w:t>
            </w:r>
            <w:r w:rsidR="00E63064">
              <w:rPr>
                <w:color w:val="000000" w:themeColor="text1"/>
              </w:rPr>
              <w:t>some specific disruption</w:t>
            </w:r>
            <w:r w:rsidR="00E63064" w:rsidRPr="00E63064">
              <w:rPr>
                <w:color w:val="000000" w:themeColor="text1"/>
              </w:rPr>
              <w:t>.</w:t>
            </w:r>
          </w:p>
          <w:p w14:paraId="0A871DD5" w14:textId="6D829312" w:rsidR="00E136E1" w:rsidRDefault="00E136E1" w:rsidP="00E136E1">
            <w:pPr>
              <w:spacing w:before="240"/>
              <w:rPr>
                <w:color w:val="000000" w:themeColor="text1"/>
              </w:rPr>
            </w:pPr>
            <w:r>
              <w:rPr>
                <w:color w:val="000000" w:themeColor="text1"/>
              </w:rPr>
              <w:t xml:space="preserve">SEND provision was strong for all pupils requiring this last year, in large part facilitated by the funding from the </w:t>
            </w:r>
            <w:r w:rsidR="00A2535C">
              <w:rPr>
                <w:color w:val="000000" w:themeColor="text1"/>
              </w:rPr>
              <w:t>Recovery</w:t>
            </w:r>
            <w:r>
              <w:rPr>
                <w:color w:val="000000" w:themeColor="text1"/>
              </w:rPr>
              <w:t xml:space="preserve"> Premium being effectively deployed to support these pupils. Many of the successful strategies have been adopted into this year’s spending plans</w:t>
            </w:r>
            <w:r w:rsidR="00184DE6">
              <w:rPr>
                <w:color w:val="000000" w:themeColor="text1"/>
              </w:rPr>
              <w:t xml:space="preserve">, notably the extended school day and IDL. </w:t>
            </w:r>
          </w:p>
          <w:p w14:paraId="42A61F19" w14:textId="04F85479" w:rsidR="00E136E1" w:rsidRPr="00921A85" w:rsidRDefault="00E136E1" w:rsidP="00E136E1">
            <w:pPr>
              <w:spacing w:before="240"/>
              <w:rPr>
                <w:color w:val="000000" w:themeColor="text1"/>
              </w:rPr>
            </w:pPr>
            <w:r>
              <w:rPr>
                <w:color w:val="000000" w:themeColor="text1"/>
              </w:rPr>
              <w:t xml:space="preserve">Staff pastoral care, facilitated by PP, had beneficial impact not only on DPs, but also on all pupils, including those who had experienced little additional support from families during lockdowns and home learning. </w:t>
            </w:r>
            <w:r w:rsidR="002F7772">
              <w:rPr>
                <w:color w:val="000000" w:themeColor="text1"/>
              </w:rPr>
              <w:t xml:space="preserve">That said, in spite of this support, pupil wellbeing and mental health undoubtedly </w:t>
            </w:r>
            <w:r w:rsidR="006F616E">
              <w:rPr>
                <w:color w:val="000000" w:themeColor="text1"/>
              </w:rPr>
              <w:t>remains a focus for the school</w:t>
            </w:r>
            <w:r w:rsidR="002F7772">
              <w:rPr>
                <w:color w:val="000000" w:themeColor="text1"/>
              </w:rPr>
              <w:t xml:space="preserve">, and we are still feeling the challenges associated with this as we work with our children this year. </w:t>
            </w:r>
          </w:p>
        </w:tc>
      </w:tr>
    </w:tbl>
    <w:p w14:paraId="0385A27A" w14:textId="06476542" w:rsidR="006169BC" w:rsidRPr="001F4AAE" w:rsidRDefault="006169BC" w:rsidP="002F7772">
      <w:pPr>
        <w:pStyle w:val="Heading2"/>
        <w:spacing w:before="600" w:after="240"/>
        <w:rPr>
          <w:rFonts w:asciiTheme="minorHAnsi" w:hAnsiTheme="minorHAnsi"/>
        </w:rPr>
      </w:pPr>
      <w:r w:rsidRPr="001F4AAE">
        <w:rPr>
          <w:rFonts w:asciiTheme="minorHAnsi" w:hAnsiTheme="minorHAnsi"/>
        </w:rPr>
        <w:t>Externally provided programmes</w:t>
      </w:r>
    </w:p>
    <w:tbl>
      <w:tblPr>
        <w:tblW w:w="5000" w:type="pct"/>
        <w:tblCellMar>
          <w:left w:w="10" w:type="dxa"/>
          <w:right w:w="10" w:type="dxa"/>
        </w:tblCellMar>
        <w:tblLook w:val="04A0" w:firstRow="1" w:lastRow="0" w:firstColumn="1" w:lastColumn="0" w:noHBand="0" w:noVBand="1"/>
      </w:tblPr>
      <w:tblGrid>
        <w:gridCol w:w="5307"/>
        <w:gridCol w:w="5149"/>
      </w:tblGrid>
      <w:tr w:rsidR="006169BC" w:rsidRPr="001F4AAE" w14:paraId="52B959DA" w14:textId="77777777" w:rsidTr="0087531D">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38B6CDB4" w14:textId="77777777" w:rsidR="006169BC" w:rsidRPr="001F4AAE" w:rsidRDefault="006169BC" w:rsidP="0087531D">
            <w:pPr>
              <w:pStyle w:val="TableHeader"/>
              <w:jc w:val="left"/>
              <w:rPr>
                <w:rFonts w:asciiTheme="minorHAnsi" w:hAnsiTheme="minorHAnsi"/>
              </w:rPr>
            </w:pPr>
            <w:r w:rsidRPr="001F4AAE">
              <w:rPr>
                <w:rFonts w:asciiTheme="minorHAnsi" w:hAnsiTheme="minorHAnsi"/>
              </w:rP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57FE52BF" w14:textId="77777777" w:rsidR="006169BC" w:rsidRPr="001F4AAE" w:rsidRDefault="006169BC" w:rsidP="0087531D">
            <w:pPr>
              <w:pStyle w:val="TableHeader"/>
              <w:jc w:val="left"/>
              <w:rPr>
                <w:rFonts w:asciiTheme="minorHAnsi" w:hAnsiTheme="minorHAnsi"/>
              </w:rPr>
            </w:pPr>
            <w:r w:rsidRPr="001F4AAE">
              <w:rPr>
                <w:rFonts w:asciiTheme="minorHAnsi" w:hAnsiTheme="minorHAnsi"/>
              </w:rPr>
              <w:t>Provider</w:t>
            </w:r>
          </w:p>
        </w:tc>
      </w:tr>
      <w:tr w:rsidR="006169BC" w:rsidRPr="001F4AAE" w14:paraId="352578F8" w14:textId="77777777" w:rsidTr="0087531D">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8F2B0" w14:textId="77777777" w:rsidR="006169BC" w:rsidRPr="00777FBC" w:rsidRDefault="002F7772" w:rsidP="0087531D">
            <w:pPr>
              <w:pStyle w:val="TableRow"/>
              <w:rPr>
                <w:rFonts w:asciiTheme="minorHAnsi" w:hAnsiTheme="minorHAnsi"/>
                <w:color w:val="000000" w:themeColor="text1"/>
                <w:sz w:val="21"/>
                <w:szCs w:val="21"/>
              </w:rPr>
            </w:pPr>
            <w:r w:rsidRPr="00777FBC">
              <w:rPr>
                <w:rFonts w:asciiTheme="minorHAnsi" w:hAnsiTheme="minorHAnsi"/>
                <w:color w:val="000000" w:themeColor="text1"/>
                <w:sz w:val="21"/>
                <w:szCs w:val="21"/>
              </w:rPr>
              <w:t>Academic Mentoring (including CPD)</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31264" w14:textId="12D5011F" w:rsidR="006169BC" w:rsidRPr="00777FBC" w:rsidRDefault="002F7772" w:rsidP="0087531D">
            <w:pPr>
              <w:pStyle w:val="TableRowCentered"/>
              <w:jc w:val="left"/>
              <w:rPr>
                <w:rFonts w:asciiTheme="minorHAnsi" w:hAnsiTheme="minorHAnsi"/>
                <w:color w:val="000000" w:themeColor="text1"/>
                <w:sz w:val="21"/>
                <w:szCs w:val="21"/>
              </w:rPr>
            </w:pPr>
            <w:r w:rsidRPr="00777FBC">
              <w:rPr>
                <w:rFonts w:asciiTheme="minorHAnsi" w:hAnsiTheme="minorHAnsi"/>
                <w:color w:val="000000" w:themeColor="text1"/>
                <w:sz w:val="21"/>
                <w:szCs w:val="21"/>
              </w:rPr>
              <w:t>National Tutoring Programme</w:t>
            </w:r>
            <w:r w:rsidR="006822DB">
              <w:rPr>
                <w:rFonts w:asciiTheme="minorHAnsi" w:hAnsiTheme="minorHAnsi"/>
                <w:color w:val="000000" w:themeColor="text1"/>
                <w:sz w:val="21"/>
                <w:szCs w:val="21"/>
              </w:rPr>
              <w:t xml:space="preserve"> (</w:t>
            </w:r>
            <w:r w:rsidR="00890BC0">
              <w:rPr>
                <w:rFonts w:asciiTheme="minorHAnsi" w:hAnsiTheme="minorHAnsi"/>
                <w:color w:val="000000" w:themeColor="text1"/>
                <w:sz w:val="21"/>
                <w:szCs w:val="21"/>
              </w:rPr>
              <w:t>previous year</w:t>
            </w:r>
            <w:r w:rsidR="006822DB">
              <w:rPr>
                <w:rFonts w:asciiTheme="minorHAnsi" w:hAnsiTheme="minorHAnsi"/>
                <w:color w:val="000000" w:themeColor="text1"/>
                <w:sz w:val="21"/>
                <w:szCs w:val="21"/>
              </w:rPr>
              <w:t>)</w:t>
            </w:r>
          </w:p>
        </w:tc>
      </w:tr>
      <w:tr w:rsidR="006169BC" w:rsidRPr="001F4AAE" w14:paraId="7AB33B7C" w14:textId="77777777" w:rsidTr="0087531D">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E98A2" w14:textId="77777777" w:rsidR="006169BC" w:rsidRPr="00777FBC" w:rsidRDefault="002F7772" w:rsidP="0087531D">
            <w:pPr>
              <w:pStyle w:val="TableRow"/>
              <w:rPr>
                <w:rFonts w:asciiTheme="minorHAnsi" w:hAnsiTheme="minorHAnsi"/>
                <w:color w:val="000000" w:themeColor="text1"/>
                <w:sz w:val="21"/>
                <w:szCs w:val="21"/>
              </w:rPr>
            </w:pPr>
            <w:r w:rsidRPr="00777FBC">
              <w:rPr>
                <w:rFonts w:asciiTheme="minorHAnsi" w:hAnsiTheme="minorHAnsi"/>
                <w:color w:val="000000" w:themeColor="text1"/>
                <w:sz w:val="21"/>
                <w:szCs w:val="21"/>
              </w:rPr>
              <w:t>Boxall Wellbeing</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2772F" w14:textId="77777777" w:rsidR="006169BC" w:rsidRPr="00777FBC" w:rsidRDefault="002F7772" w:rsidP="0087531D">
            <w:pPr>
              <w:pStyle w:val="TableRowCentered"/>
              <w:jc w:val="left"/>
              <w:rPr>
                <w:rFonts w:asciiTheme="minorHAnsi" w:hAnsiTheme="minorHAnsi"/>
                <w:color w:val="000000" w:themeColor="text1"/>
                <w:sz w:val="21"/>
                <w:szCs w:val="21"/>
              </w:rPr>
            </w:pPr>
            <w:r w:rsidRPr="00777FBC">
              <w:rPr>
                <w:rFonts w:asciiTheme="minorHAnsi" w:hAnsiTheme="minorHAnsi"/>
                <w:color w:val="000000" w:themeColor="text1"/>
                <w:sz w:val="21"/>
                <w:szCs w:val="21"/>
              </w:rPr>
              <w:t>NURTURE (via LA)</w:t>
            </w:r>
          </w:p>
        </w:tc>
      </w:tr>
      <w:tr w:rsidR="002F7772" w:rsidRPr="001F4AAE" w14:paraId="3032B588" w14:textId="77777777" w:rsidTr="0087531D">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DF616" w14:textId="77777777" w:rsidR="002F7772" w:rsidRPr="00777FBC" w:rsidRDefault="002F7772" w:rsidP="0087531D">
            <w:pPr>
              <w:pStyle w:val="TableRow"/>
              <w:rPr>
                <w:rFonts w:asciiTheme="minorHAnsi" w:hAnsiTheme="minorHAnsi"/>
                <w:color w:val="000000" w:themeColor="text1"/>
                <w:sz w:val="21"/>
                <w:szCs w:val="21"/>
              </w:rPr>
            </w:pPr>
            <w:proofErr w:type="spellStart"/>
            <w:r w:rsidRPr="00777FBC">
              <w:rPr>
                <w:rFonts w:asciiTheme="minorHAnsi" w:hAnsiTheme="minorHAnsi"/>
                <w:color w:val="000000" w:themeColor="text1"/>
                <w:sz w:val="21"/>
                <w:szCs w:val="21"/>
              </w:rPr>
              <w:t>Talkboost</w:t>
            </w:r>
            <w:proofErr w:type="spellEnd"/>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69583" w14:textId="77777777" w:rsidR="002F7772" w:rsidRPr="00777FBC" w:rsidRDefault="002F7772" w:rsidP="0087531D">
            <w:pPr>
              <w:pStyle w:val="TableRowCentered"/>
              <w:jc w:val="left"/>
              <w:rPr>
                <w:rFonts w:asciiTheme="minorHAnsi" w:hAnsiTheme="minorHAnsi"/>
                <w:color w:val="000000" w:themeColor="text1"/>
                <w:sz w:val="21"/>
                <w:szCs w:val="21"/>
              </w:rPr>
            </w:pPr>
            <w:r w:rsidRPr="00777FBC">
              <w:rPr>
                <w:rFonts w:asciiTheme="minorHAnsi" w:hAnsiTheme="minorHAnsi"/>
                <w:color w:val="000000" w:themeColor="text1"/>
                <w:sz w:val="21"/>
                <w:szCs w:val="21"/>
              </w:rPr>
              <w:t>Locality Board (via LA)</w:t>
            </w:r>
          </w:p>
        </w:tc>
      </w:tr>
    </w:tbl>
    <w:p w14:paraId="1E6A6949" w14:textId="77777777" w:rsidR="00E94C21" w:rsidRDefault="00E94C21" w:rsidP="006822DB">
      <w:pPr>
        <w:pStyle w:val="Heading2"/>
        <w:spacing w:before="200" w:after="240"/>
        <w:rPr>
          <w:rFonts w:asciiTheme="minorHAnsi" w:hAnsiTheme="minorHAnsi"/>
        </w:rPr>
      </w:pPr>
    </w:p>
    <w:p w14:paraId="3FCCF0A0" w14:textId="77777777" w:rsidR="00E94C21" w:rsidRDefault="00E94C21">
      <w:pPr>
        <w:rPr>
          <w:rFonts w:eastAsiaTheme="majorEastAsia" w:cstheme="majorBidi"/>
          <w:color w:val="374C80" w:themeColor="accent1" w:themeShade="BF"/>
          <w:sz w:val="28"/>
          <w:szCs w:val="28"/>
        </w:rPr>
      </w:pPr>
      <w:r>
        <w:br w:type="page"/>
      </w:r>
    </w:p>
    <w:p w14:paraId="246AEE50" w14:textId="7355DB5A" w:rsidR="006169BC" w:rsidRPr="001F4AAE" w:rsidRDefault="006169BC" w:rsidP="006822DB">
      <w:pPr>
        <w:pStyle w:val="Heading2"/>
        <w:spacing w:before="200" w:after="240"/>
        <w:rPr>
          <w:rFonts w:asciiTheme="minorHAnsi" w:hAnsiTheme="minorHAnsi"/>
        </w:rPr>
      </w:pPr>
      <w:r w:rsidRPr="001F4AAE">
        <w:rPr>
          <w:rFonts w:asciiTheme="minorHAnsi" w:hAnsiTheme="minorHAnsi"/>
        </w:rPr>
        <w:lastRenderedPageBreak/>
        <w:t>Service pupil premium funding (optional)</w:t>
      </w:r>
    </w:p>
    <w:tbl>
      <w:tblPr>
        <w:tblW w:w="5000" w:type="pct"/>
        <w:tblCellMar>
          <w:left w:w="10" w:type="dxa"/>
          <w:right w:w="10" w:type="dxa"/>
        </w:tblCellMar>
        <w:tblLook w:val="04A0" w:firstRow="1" w:lastRow="0" w:firstColumn="1" w:lastColumn="0" w:noHBand="0" w:noVBand="1"/>
      </w:tblPr>
      <w:tblGrid>
        <w:gridCol w:w="3276"/>
        <w:gridCol w:w="7180"/>
      </w:tblGrid>
      <w:tr w:rsidR="006169BC" w:rsidRPr="001F4AAE" w14:paraId="17D01B1E" w14:textId="77777777" w:rsidTr="00397C47">
        <w:tc>
          <w:tcPr>
            <w:tcW w:w="327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3545269D" w14:textId="77777777" w:rsidR="006169BC" w:rsidRPr="001F4AAE" w:rsidRDefault="006169BC" w:rsidP="0087531D">
            <w:pPr>
              <w:pStyle w:val="TableHeader"/>
              <w:jc w:val="left"/>
              <w:rPr>
                <w:rFonts w:asciiTheme="minorHAnsi" w:hAnsiTheme="minorHAnsi"/>
              </w:rPr>
            </w:pPr>
            <w:bookmarkStart w:id="13" w:name="_Hlk80604898"/>
            <w:r w:rsidRPr="001F4AAE">
              <w:rPr>
                <w:rFonts w:asciiTheme="minorHAnsi" w:hAnsiTheme="minorHAnsi"/>
                <w:bCs/>
              </w:rPr>
              <w:t>Measure</w:t>
            </w:r>
          </w:p>
        </w:tc>
        <w:tc>
          <w:tcPr>
            <w:tcW w:w="718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38E72DAD" w14:textId="77777777" w:rsidR="006169BC" w:rsidRPr="001F4AAE" w:rsidRDefault="006169BC" w:rsidP="0087531D">
            <w:pPr>
              <w:pStyle w:val="TableHeader"/>
              <w:jc w:val="left"/>
              <w:rPr>
                <w:rFonts w:asciiTheme="minorHAnsi" w:hAnsiTheme="minorHAnsi"/>
              </w:rPr>
            </w:pPr>
            <w:r w:rsidRPr="001F4AAE">
              <w:rPr>
                <w:rFonts w:asciiTheme="minorHAnsi" w:hAnsiTheme="minorHAnsi"/>
                <w:bCs/>
              </w:rPr>
              <w:t xml:space="preserve">Details </w:t>
            </w:r>
          </w:p>
        </w:tc>
      </w:tr>
      <w:tr w:rsidR="00397C47" w:rsidRPr="001F4AAE" w14:paraId="7AE03DAA" w14:textId="77777777" w:rsidTr="00397C47">
        <w:tc>
          <w:tcPr>
            <w:tcW w:w="3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AD1C80" w14:textId="77777777" w:rsidR="00397C47" w:rsidRPr="00777FBC" w:rsidRDefault="00397C47" w:rsidP="0087531D">
            <w:pPr>
              <w:pStyle w:val="TableRow"/>
              <w:rPr>
                <w:rFonts w:asciiTheme="minorHAnsi" w:hAnsiTheme="minorHAnsi"/>
                <w:sz w:val="21"/>
                <w:szCs w:val="21"/>
              </w:rPr>
            </w:pPr>
            <w:r w:rsidRPr="00777FBC">
              <w:rPr>
                <w:rFonts w:asciiTheme="minorHAnsi" w:hAnsiTheme="minorHAnsi"/>
                <w:color w:val="000000"/>
                <w:sz w:val="21"/>
                <w:szCs w:val="21"/>
              </w:rPr>
              <w:t>How did you spend your service pupil premium allocation last academic year?</w:t>
            </w:r>
          </w:p>
        </w:tc>
        <w:tc>
          <w:tcPr>
            <w:tcW w:w="7180"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54C8862D" w14:textId="561F8B83" w:rsidR="00397C47" w:rsidRPr="00777FBC" w:rsidRDefault="00397C47" w:rsidP="0087531D">
            <w:pPr>
              <w:spacing w:before="60" w:line="240" w:lineRule="auto"/>
              <w:ind w:left="57" w:right="57"/>
              <w:rPr>
                <w:rFonts w:eastAsiaTheme="minorHAnsi" w:cs="Arial"/>
              </w:rPr>
            </w:pPr>
            <w:r w:rsidRPr="00777FBC">
              <w:rPr>
                <w:rFonts w:eastAsiaTheme="minorHAnsi" w:cs="Arial"/>
              </w:rPr>
              <w:t xml:space="preserve">Please see separate </w:t>
            </w:r>
            <w:hyperlink r:id="rId17" w:history="1">
              <w:r w:rsidRPr="00397C47">
                <w:rPr>
                  <w:rStyle w:val="Hyperlink"/>
                  <w:rFonts w:asciiTheme="minorHAnsi" w:eastAsiaTheme="minorHAnsi" w:hAnsiTheme="minorHAnsi" w:cs="Arial"/>
                  <w:sz w:val="21"/>
                </w:rPr>
                <w:t>SPP Strategy</w:t>
              </w:r>
            </w:hyperlink>
            <w:r>
              <w:rPr>
                <w:rFonts w:eastAsiaTheme="minorHAnsi" w:cs="Arial"/>
              </w:rPr>
              <w:t>, including impact statement</w:t>
            </w:r>
            <w:r w:rsidRPr="00777FBC">
              <w:rPr>
                <w:rFonts w:eastAsiaTheme="minorHAnsi" w:cs="Arial"/>
              </w:rPr>
              <w:t>, published online.</w:t>
            </w:r>
          </w:p>
          <w:p w14:paraId="7D2B22BA" w14:textId="4D372EA6" w:rsidR="00397C47" w:rsidRPr="00777FBC" w:rsidRDefault="00397C47" w:rsidP="0087531D">
            <w:pPr>
              <w:pStyle w:val="TableRowCentered"/>
              <w:spacing w:after="120"/>
              <w:jc w:val="left"/>
              <w:rPr>
                <w:rFonts w:eastAsiaTheme="minorHAnsi" w:cs="Arial"/>
              </w:rPr>
            </w:pPr>
          </w:p>
        </w:tc>
      </w:tr>
      <w:tr w:rsidR="00397C47" w:rsidRPr="001F4AAE" w14:paraId="69ACA0C5" w14:textId="77777777" w:rsidTr="00397C47">
        <w:tc>
          <w:tcPr>
            <w:tcW w:w="3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AABF5" w14:textId="77777777" w:rsidR="00397C47" w:rsidRPr="00777FBC" w:rsidRDefault="00397C47" w:rsidP="0087531D">
            <w:pPr>
              <w:pStyle w:val="TableRow"/>
              <w:spacing w:after="120"/>
              <w:rPr>
                <w:rFonts w:asciiTheme="minorHAnsi" w:hAnsiTheme="minorHAnsi"/>
                <w:sz w:val="21"/>
                <w:szCs w:val="21"/>
              </w:rPr>
            </w:pPr>
            <w:r w:rsidRPr="00777FBC">
              <w:rPr>
                <w:rFonts w:asciiTheme="minorHAnsi" w:hAnsiTheme="minorHAnsi"/>
                <w:color w:val="000000"/>
                <w:sz w:val="21"/>
                <w:szCs w:val="21"/>
              </w:rPr>
              <w:t>What was the impact of that spending on service pupil premium eligible pupils?</w:t>
            </w:r>
          </w:p>
        </w:tc>
        <w:tc>
          <w:tcPr>
            <w:tcW w:w="7180"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37998" w14:textId="0E41EF9C" w:rsidR="00397C47" w:rsidRPr="00777FBC" w:rsidRDefault="00397C47" w:rsidP="0087531D">
            <w:pPr>
              <w:pStyle w:val="TableRowCentered"/>
              <w:spacing w:after="120"/>
              <w:jc w:val="left"/>
              <w:rPr>
                <w:rFonts w:asciiTheme="minorHAnsi" w:hAnsiTheme="minorHAnsi"/>
                <w:color w:val="auto"/>
                <w:sz w:val="21"/>
                <w:szCs w:val="21"/>
              </w:rPr>
            </w:pPr>
          </w:p>
        </w:tc>
      </w:tr>
      <w:bookmarkEnd w:id="9"/>
      <w:bookmarkEnd w:id="10"/>
      <w:bookmarkEnd w:id="12"/>
      <w:bookmarkEnd w:id="13"/>
    </w:tbl>
    <w:p w14:paraId="1EA09CA1" w14:textId="77777777" w:rsidR="00546B0C" w:rsidRPr="006822DB" w:rsidRDefault="00546B0C" w:rsidP="006822DB">
      <w:pPr>
        <w:rPr>
          <w:sz w:val="4"/>
        </w:rPr>
      </w:pPr>
    </w:p>
    <w:sectPr w:rsidR="00546B0C" w:rsidRPr="006822DB" w:rsidSect="00917698">
      <w:headerReference w:type="default" r:id="rId18"/>
      <w:pgSz w:w="11906" w:h="16838"/>
      <w:pgMar w:top="156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4F323C" w14:textId="77777777" w:rsidR="001A425C" w:rsidRDefault="001A425C" w:rsidP="00546B0C">
      <w:pPr>
        <w:spacing w:after="0" w:line="240" w:lineRule="auto"/>
      </w:pPr>
      <w:r>
        <w:separator/>
      </w:r>
    </w:p>
  </w:endnote>
  <w:endnote w:type="continuationSeparator" w:id="0">
    <w:p w14:paraId="4CC5F3FF" w14:textId="77777777" w:rsidR="001A425C" w:rsidRDefault="001A425C" w:rsidP="00546B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1B7E3C" w14:textId="77777777" w:rsidR="001A425C" w:rsidRDefault="001A425C" w:rsidP="00546B0C">
      <w:pPr>
        <w:spacing w:after="0" w:line="240" w:lineRule="auto"/>
      </w:pPr>
      <w:r>
        <w:separator/>
      </w:r>
    </w:p>
  </w:footnote>
  <w:footnote w:type="continuationSeparator" w:id="0">
    <w:p w14:paraId="1FC0543F" w14:textId="77777777" w:rsidR="001A425C" w:rsidRDefault="001A425C" w:rsidP="00546B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C5AEE3" w14:textId="77777777" w:rsidR="00546B0C" w:rsidRPr="00546B0C" w:rsidRDefault="00546B0C" w:rsidP="00546B0C">
    <w:pPr>
      <w:pStyle w:val="Header"/>
      <w:rPr>
        <w:color w:val="000000" w:themeColor="text1"/>
      </w:rPr>
    </w:pPr>
    <w:r w:rsidRPr="00546B0C">
      <w:rPr>
        <w:noProof/>
        <w:color w:val="000000" w:themeColor="text1"/>
        <w:sz w:val="22"/>
        <w:lang w:eastAsia="en-GB"/>
      </w:rPr>
      <w:drawing>
        <wp:anchor distT="0" distB="0" distL="114300" distR="114300" simplePos="0" relativeHeight="251659264" behindDoc="0" locked="0" layoutInCell="1" allowOverlap="1" wp14:anchorId="64F25A77" wp14:editId="40857F7E">
          <wp:simplePos x="0" y="0"/>
          <wp:positionH relativeFrom="margin">
            <wp:align>right</wp:align>
          </wp:positionH>
          <wp:positionV relativeFrom="paragraph">
            <wp:posOffset>-208280</wp:posOffset>
          </wp:positionV>
          <wp:extent cx="647700" cy="685430"/>
          <wp:effectExtent l="0" t="0" r="0" b="63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7700" cy="685430"/>
                  </a:xfrm>
                  <a:prstGeom prst="rect">
                    <a:avLst/>
                  </a:prstGeom>
                </pic:spPr>
              </pic:pic>
            </a:graphicData>
          </a:graphic>
          <wp14:sizeRelH relativeFrom="margin">
            <wp14:pctWidth>0</wp14:pctWidth>
          </wp14:sizeRelH>
          <wp14:sizeRelV relativeFrom="margin">
            <wp14:pctHeight>0</wp14:pctHeight>
          </wp14:sizeRelV>
        </wp:anchor>
      </w:drawing>
    </w:r>
    <w:r w:rsidRPr="00546B0C">
      <w:rPr>
        <w:color w:val="000000" w:themeColor="text1"/>
        <w:sz w:val="22"/>
      </w:rPr>
      <w:t>Leeming RAF Community Primary School</w:t>
    </w:r>
  </w:p>
  <w:p w14:paraId="3BD327B6" w14:textId="77777777" w:rsidR="00546B0C" w:rsidRPr="00546B0C" w:rsidRDefault="005B660C" w:rsidP="00546B0C">
    <w:pPr>
      <w:pStyle w:val="Header"/>
      <w:rPr>
        <w:i/>
      </w:rPr>
    </w:pPr>
    <w:r>
      <w:rPr>
        <w:i/>
        <w:color w:val="7F7F7F" w:themeColor="text1" w:themeTint="80"/>
      </w:rPr>
      <w:t>‘We care, we respect, w</w:t>
    </w:r>
    <w:r w:rsidR="00546B0C" w:rsidRPr="00546B0C">
      <w:rPr>
        <w:i/>
        <w:color w:val="7F7F7F" w:themeColor="text1" w:themeTint="80"/>
      </w:rPr>
      <w:t>e do our best’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6F2E2B"/>
    <w:multiLevelType w:val="hybridMultilevel"/>
    <w:tmpl w:val="121E8244"/>
    <w:lvl w:ilvl="0" w:tplc="690C7104">
      <w:numFmt w:val="bullet"/>
      <w:lvlText w:val="-"/>
      <w:lvlJc w:val="left"/>
      <w:pPr>
        <w:ind w:left="720" w:hanging="360"/>
      </w:pPr>
      <w:rPr>
        <w:rFonts w:ascii="Century Gothic" w:eastAsiaTheme="minorEastAsia" w:hAnsi="Century Gothic"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EE517D"/>
    <w:multiLevelType w:val="hybridMultilevel"/>
    <w:tmpl w:val="06A8CBB0"/>
    <w:lvl w:ilvl="0" w:tplc="E2FECFA2">
      <w:start w:val="1"/>
      <w:numFmt w:val="bullet"/>
      <w:lvlText w:val="-"/>
      <w:lvlJc w:val="left"/>
      <w:pPr>
        <w:ind w:left="720" w:hanging="360"/>
      </w:pPr>
      <w:rPr>
        <w:rFonts w:ascii="Century Gothic" w:eastAsiaTheme="minorEastAsia"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490FAB"/>
    <w:multiLevelType w:val="hybridMultilevel"/>
    <w:tmpl w:val="2C062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597B5C"/>
    <w:multiLevelType w:val="hybridMultilevel"/>
    <w:tmpl w:val="7DD823D4"/>
    <w:lvl w:ilvl="0" w:tplc="4DCAC1CC">
      <w:start w:val="5"/>
      <w:numFmt w:val="bullet"/>
      <w:pStyle w:val="ListParagraph"/>
      <w:lvlText w:val="-"/>
      <w:lvlJc w:val="left"/>
      <w:pPr>
        <w:ind w:left="1440" w:hanging="360"/>
      </w:pPr>
      <w:rPr>
        <w:rFonts w:ascii="Century Gothic" w:eastAsiaTheme="minorEastAsia" w:hAnsi="Century Gothic"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377B20F8"/>
    <w:multiLevelType w:val="multilevel"/>
    <w:tmpl w:val="E0000E80"/>
    <w:styleLink w:val="Custom1"/>
    <w:lvl w:ilvl="0">
      <w:numFmt w:val="bullet"/>
      <w:lvlText w:val="-"/>
      <w:lvlJc w:val="left"/>
      <w:pPr>
        <w:ind w:left="720" w:hanging="360"/>
      </w:pPr>
      <w:rPr>
        <w:rFonts w:ascii="Century Gothic" w:eastAsiaTheme="minorEastAsia" w:hAnsi="Century Gothic"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D802757"/>
    <w:multiLevelType w:val="hybridMultilevel"/>
    <w:tmpl w:val="BBD0B9D6"/>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7" w15:restartNumberingAfterBreak="0">
    <w:nsid w:val="4D143DA6"/>
    <w:multiLevelType w:val="multilevel"/>
    <w:tmpl w:val="C85E7538"/>
    <w:styleLink w:val="CustomList"/>
    <w:lvl w:ilvl="0">
      <w:start w:val="5"/>
      <w:numFmt w:val="bullet"/>
      <w:lvlText w:val="-"/>
      <w:lvlJc w:val="left"/>
      <w:pPr>
        <w:ind w:left="720" w:hanging="360"/>
      </w:pPr>
      <w:rPr>
        <w:rFonts w:ascii="Century Gothic" w:eastAsiaTheme="minorEastAsia" w:hAnsi="Century Gothic"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AD26892"/>
    <w:multiLevelType w:val="hybridMultilevel"/>
    <w:tmpl w:val="E30A8474"/>
    <w:lvl w:ilvl="0" w:tplc="D1B6E20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536319"/>
    <w:multiLevelType w:val="multilevel"/>
    <w:tmpl w:val="1180BF6C"/>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6D3426CA"/>
    <w:multiLevelType w:val="hybridMultilevel"/>
    <w:tmpl w:val="80441BA2"/>
    <w:lvl w:ilvl="0" w:tplc="08090001">
      <w:start w:val="1"/>
      <w:numFmt w:val="bullet"/>
      <w:lvlText w:val=""/>
      <w:lvlJc w:val="left"/>
      <w:pPr>
        <w:ind w:left="414" w:hanging="360"/>
      </w:pPr>
      <w:rPr>
        <w:rFonts w:ascii="Symbol" w:hAnsi="Symbol" w:hint="default"/>
      </w:rPr>
    </w:lvl>
    <w:lvl w:ilvl="1" w:tplc="08090003" w:tentative="1">
      <w:start w:val="1"/>
      <w:numFmt w:val="bullet"/>
      <w:lvlText w:val="o"/>
      <w:lvlJc w:val="left"/>
      <w:pPr>
        <w:ind w:left="1134" w:hanging="360"/>
      </w:pPr>
      <w:rPr>
        <w:rFonts w:ascii="Courier New" w:hAnsi="Courier New" w:cs="Courier New" w:hint="default"/>
      </w:rPr>
    </w:lvl>
    <w:lvl w:ilvl="2" w:tplc="08090005" w:tentative="1">
      <w:start w:val="1"/>
      <w:numFmt w:val="bullet"/>
      <w:lvlText w:val=""/>
      <w:lvlJc w:val="left"/>
      <w:pPr>
        <w:ind w:left="1854" w:hanging="360"/>
      </w:pPr>
      <w:rPr>
        <w:rFonts w:ascii="Wingdings" w:hAnsi="Wingdings" w:hint="default"/>
      </w:rPr>
    </w:lvl>
    <w:lvl w:ilvl="3" w:tplc="08090001" w:tentative="1">
      <w:start w:val="1"/>
      <w:numFmt w:val="bullet"/>
      <w:lvlText w:val=""/>
      <w:lvlJc w:val="left"/>
      <w:pPr>
        <w:ind w:left="2574" w:hanging="360"/>
      </w:pPr>
      <w:rPr>
        <w:rFonts w:ascii="Symbol" w:hAnsi="Symbol" w:hint="default"/>
      </w:rPr>
    </w:lvl>
    <w:lvl w:ilvl="4" w:tplc="08090003" w:tentative="1">
      <w:start w:val="1"/>
      <w:numFmt w:val="bullet"/>
      <w:lvlText w:val="o"/>
      <w:lvlJc w:val="left"/>
      <w:pPr>
        <w:ind w:left="3294" w:hanging="360"/>
      </w:pPr>
      <w:rPr>
        <w:rFonts w:ascii="Courier New" w:hAnsi="Courier New" w:cs="Courier New" w:hint="default"/>
      </w:rPr>
    </w:lvl>
    <w:lvl w:ilvl="5" w:tplc="08090005" w:tentative="1">
      <w:start w:val="1"/>
      <w:numFmt w:val="bullet"/>
      <w:lvlText w:val=""/>
      <w:lvlJc w:val="left"/>
      <w:pPr>
        <w:ind w:left="4014" w:hanging="360"/>
      </w:pPr>
      <w:rPr>
        <w:rFonts w:ascii="Wingdings" w:hAnsi="Wingdings" w:hint="default"/>
      </w:rPr>
    </w:lvl>
    <w:lvl w:ilvl="6" w:tplc="08090001" w:tentative="1">
      <w:start w:val="1"/>
      <w:numFmt w:val="bullet"/>
      <w:lvlText w:val=""/>
      <w:lvlJc w:val="left"/>
      <w:pPr>
        <w:ind w:left="4734" w:hanging="360"/>
      </w:pPr>
      <w:rPr>
        <w:rFonts w:ascii="Symbol" w:hAnsi="Symbol" w:hint="default"/>
      </w:rPr>
    </w:lvl>
    <w:lvl w:ilvl="7" w:tplc="08090003" w:tentative="1">
      <w:start w:val="1"/>
      <w:numFmt w:val="bullet"/>
      <w:lvlText w:val="o"/>
      <w:lvlJc w:val="left"/>
      <w:pPr>
        <w:ind w:left="5454" w:hanging="360"/>
      </w:pPr>
      <w:rPr>
        <w:rFonts w:ascii="Courier New" w:hAnsi="Courier New" w:cs="Courier New" w:hint="default"/>
      </w:rPr>
    </w:lvl>
    <w:lvl w:ilvl="8" w:tplc="08090005" w:tentative="1">
      <w:start w:val="1"/>
      <w:numFmt w:val="bullet"/>
      <w:lvlText w:val=""/>
      <w:lvlJc w:val="left"/>
      <w:pPr>
        <w:ind w:left="6174" w:hanging="360"/>
      </w:pPr>
      <w:rPr>
        <w:rFonts w:ascii="Wingdings" w:hAnsi="Wingdings" w:hint="default"/>
      </w:rPr>
    </w:lvl>
  </w:abstractNum>
  <w:abstractNum w:abstractNumId="11" w15:restartNumberingAfterBreak="0">
    <w:nsid w:val="6DEC4890"/>
    <w:multiLevelType w:val="hybridMultilevel"/>
    <w:tmpl w:val="0854C51E"/>
    <w:lvl w:ilvl="0" w:tplc="690C7104">
      <w:numFmt w:val="bullet"/>
      <w:lvlText w:val="-"/>
      <w:lvlJc w:val="left"/>
      <w:pPr>
        <w:ind w:left="414" w:hanging="360"/>
      </w:pPr>
      <w:rPr>
        <w:rFonts w:ascii="Century Gothic" w:eastAsiaTheme="minorEastAsia" w:hAnsi="Century Gothic" w:cs="Arial" w:hint="default"/>
      </w:rPr>
    </w:lvl>
    <w:lvl w:ilvl="1" w:tplc="08090003" w:tentative="1">
      <w:start w:val="1"/>
      <w:numFmt w:val="bullet"/>
      <w:lvlText w:val="o"/>
      <w:lvlJc w:val="left"/>
      <w:pPr>
        <w:ind w:left="1134" w:hanging="360"/>
      </w:pPr>
      <w:rPr>
        <w:rFonts w:ascii="Courier New" w:hAnsi="Courier New" w:cs="Courier New" w:hint="default"/>
      </w:rPr>
    </w:lvl>
    <w:lvl w:ilvl="2" w:tplc="08090005" w:tentative="1">
      <w:start w:val="1"/>
      <w:numFmt w:val="bullet"/>
      <w:lvlText w:val=""/>
      <w:lvlJc w:val="left"/>
      <w:pPr>
        <w:ind w:left="1854" w:hanging="360"/>
      </w:pPr>
      <w:rPr>
        <w:rFonts w:ascii="Wingdings" w:hAnsi="Wingdings" w:hint="default"/>
      </w:rPr>
    </w:lvl>
    <w:lvl w:ilvl="3" w:tplc="08090001" w:tentative="1">
      <w:start w:val="1"/>
      <w:numFmt w:val="bullet"/>
      <w:lvlText w:val=""/>
      <w:lvlJc w:val="left"/>
      <w:pPr>
        <w:ind w:left="2574" w:hanging="360"/>
      </w:pPr>
      <w:rPr>
        <w:rFonts w:ascii="Symbol" w:hAnsi="Symbol" w:hint="default"/>
      </w:rPr>
    </w:lvl>
    <w:lvl w:ilvl="4" w:tplc="08090003" w:tentative="1">
      <w:start w:val="1"/>
      <w:numFmt w:val="bullet"/>
      <w:lvlText w:val="o"/>
      <w:lvlJc w:val="left"/>
      <w:pPr>
        <w:ind w:left="3294" w:hanging="360"/>
      </w:pPr>
      <w:rPr>
        <w:rFonts w:ascii="Courier New" w:hAnsi="Courier New" w:cs="Courier New" w:hint="default"/>
      </w:rPr>
    </w:lvl>
    <w:lvl w:ilvl="5" w:tplc="08090005" w:tentative="1">
      <w:start w:val="1"/>
      <w:numFmt w:val="bullet"/>
      <w:lvlText w:val=""/>
      <w:lvlJc w:val="left"/>
      <w:pPr>
        <w:ind w:left="4014" w:hanging="360"/>
      </w:pPr>
      <w:rPr>
        <w:rFonts w:ascii="Wingdings" w:hAnsi="Wingdings" w:hint="default"/>
      </w:rPr>
    </w:lvl>
    <w:lvl w:ilvl="6" w:tplc="08090001" w:tentative="1">
      <w:start w:val="1"/>
      <w:numFmt w:val="bullet"/>
      <w:lvlText w:val=""/>
      <w:lvlJc w:val="left"/>
      <w:pPr>
        <w:ind w:left="4734" w:hanging="360"/>
      </w:pPr>
      <w:rPr>
        <w:rFonts w:ascii="Symbol" w:hAnsi="Symbol" w:hint="default"/>
      </w:rPr>
    </w:lvl>
    <w:lvl w:ilvl="7" w:tplc="08090003" w:tentative="1">
      <w:start w:val="1"/>
      <w:numFmt w:val="bullet"/>
      <w:lvlText w:val="o"/>
      <w:lvlJc w:val="left"/>
      <w:pPr>
        <w:ind w:left="5454" w:hanging="360"/>
      </w:pPr>
      <w:rPr>
        <w:rFonts w:ascii="Courier New" w:hAnsi="Courier New" w:cs="Courier New" w:hint="default"/>
      </w:rPr>
    </w:lvl>
    <w:lvl w:ilvl="8" w:tplc="08090005" w:tentative="1">
      <w:start w:val="1"/>
      <w:numFmt w:val="bullet"/>
      <w:lvlText w:val=""/>
      <w:lvlJc w:val="left"/>
      <w:pPr>
        <w:ind w:left="6174" w:hanging="360"/>
      </w:pPr>
      <w:rPr>
        <w:rFonts w:ascii="Wingdings" w:hAnsi="Wingdings" w:hint="default"/>
      </w:rPr>
    </w:lvl>
  </w:abstractNum>
  <w:abstractNum w:abstractNumId="12" w15:restartNumberingAfterBreak="0">
    <w:nsid w:val="75CE2048"/>
    <w:multiLevelType w:val="multilevel"/>
    <w:tmpl w:val="2E54C3FA"/>
    <w:styleLink w:val="LFO25"/>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2107921622">
    <w:abstractNumId w:val="3"/>
  </w:num>
  <w:num w:numId="2" w16cid:durableId="1850026339">
    <w:abstractNumId w:val="5"/>
  </w:num>
  <w:num w:numId="3" w16cid:durableId="1459028141">
    <w:abstractNumId w:val="7"/>
  </w:num>
  <w:num w:numId="4" w16cid:durableId="683628639">
    <w:abstractNumId w:val="4"/>
  </w:num>
  <w:num w:numId="5" w16cid:durableId="204761801">
    <w:abstractNumId w:val="12"/>
  </w:num>
  <w:num w:numId="6" w16cid:durableId="432438210">
    <w:abstractNumId w:val="8"/>
  </w:num>
  <w:num w:numId="7" w16cid:durableId="1832285363">
    <w:abstractNumId w:val="2"/>
  </w:num>
  <w:num w:numId="8" w16cid:durableId="1576935594">
    <w:abstractNumId w:val="6"/>
  </w:num>
  <w:num w:numId="9" w16cid:durableId="723530639">
    <w:abstractNumId w:val="10"/>
  </w:num>
  <w:num w:numId="10" w16cid:durableId="268121361">
    <w:abstractNumId w:val="0"/>
  </w:num>
  <w:num w:numId="11" w16cid:durableId="302463804">
    <w:abstractNumId w:val="11"/>
  </w:num>
  <w:num w:numId="12" w16cid:durableId="1010836730">
    <w:abstractNumId w:val="1"/>
  </w:num>
  <w:num w:numId="13" w16cid:durableId="17497646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9BC"/>
    <w:rsid w:val="00005E6B"/>
    <w:rsid w:val="0002362A"/>
    <w:rsid w:val="00030A13"/>
    <w:rsid w:val="00047575"/>
    <w:rsid w:val="000879E7"/>
    <w:rsid w:val="000A14D3"/>
    <w:rsid w:val="000A21DB"/>
    <w:rsid w:val="000B56A2"/>
    <w:rsid w:val="000C21AD"/>
    <w:rsid w:val="000E2643"/>
    <w:rsid w:val="00143DEF"/>
    <w:rsid w:val="0016224E"/>
    <w:rsid w:val="00164C19"/>
    <w:rsid w:val="00184DE6"/>
    <w:rsid w:val="001A425C"/>
    <w:rsid w:val="001C7077"/>
    <w:rsid w:val="001D7464"/>
    <w:rsid w:val="001F4AAE"/>
    <w:rsid w:val="00221EBC"/>
    <w:rsid w:val="002528BF"/>
    <w:rsid w:val="00254521"/>
    <w:rsid w:val="0029056E"/>
    <w:rsid w:val="002937F3"/>
    <w:rsid w:val="002951C5"/>
    <w:rsid w:val="002B44AF"/>
    <w:rsid w:val="002E175A"/>
    <w:rsid w:val="002F7772"/>
    <w:rsid w:val="00315D08"/>
    <w:rsid w:val="003627BA"/>
    <w:rsid w:val="0037169B"/>
    <w:rsid w:val="00382B4E"/>
    <w:rsid w:val="00390F4C"/>
    <w:rsid w:val="00397C47"/>
    <w:rsid w:val="003A47D8"/>
    <w:rsid w:val="00424E4F"/>
    <w:rsid w:val="00430575"/>
    <w:rsid w:val="004714E0"/>
    <w:rsid w:val="004A2678"/>
    <w:rsid w:val="004A5C8B"/>
    <w:rsid w:val="004D54ED"/>
    <w:rsid w:val="004D7169"/>
    <w:rsid w:val="00524ED3"/>
    <w:rsid w:val="00530B28"/>
    <w:rsid w:val="00531B9F"/>
    <w:rsid w:val="0053751C"/>
    <w:rsid w:val="00540C45"/>
    <w:rsid w:val="00546B0C"/>
    <w:rsid w:val="005845B3"/>
    <w:rsid w:val="00585634"/>
    <w:rsid w:val="005A5011"/>
    <w:rsid w:val="005B660C"/>
    <w:rsid w:val="005D6203"/>
    <w:rsid w:val="0060034D"/>
    <w:rsid w:val="00603503"/>
    <w:rsid w:val="006169BC"/>
    <w:rsid w:val="006822DB"/>
    <w:rsid w:val="006A4F3F"/>
    <w:rsid w:val="006F616E"/>
    <w:rsid w:val="00723BB4"/>
    <w:rsid w:val="00735560"/>
    <w:rsid w:val="007722BB"/>
    <w:rsid w:val="00777FBC"/>
    <w:rsid w:val="007824C4"/>
    <w:rsid w:val="007955D9"/>
    <w:rsid w:val="007A2B4F"/>
    <w:rsid w:val="007C6B3A"/>
    <w:rsid w:val="007D3D37"/>
    <w:rsid w:val="007D4935"/>
    <w:rsid w:val="008258B7"/>
    <w:rsid w:val="00846A99"/>
    <w:rsid w:val="00874C4C"/>
    <w:rsid w:val="00890BC0"/>
    <w:rsid w:val="008B7B5D"/>
    <w:rsid w:val="00917698"/>
    <w:rsid w:val="00921610"/>
    <w:rsid w:val="00921A85"/>
    <w:rsid w:val="00926C36"/>
    <w:rsid w:val="00930608"/>
    <w:rsid w:val="0099651D"/>
    <w:rsid w:val="009A3308"/>
    <w:rsid w:val="009C5475"/>
    <w:rsid w:val="009D23B1"/>
    <w:rsid w:val="00A123E7"/>
    <w:rsid w:val="00A2535C"/>
    <w:rsid w:val="00A356AE"/>
    <w:rsid w:val="00A51983"/>
    <w:rsid w:val="00AC6F87"/>
    <w:rsid w:val="00AD52FE"/>
    <w:rsid w:val="00B27ACE"/>
    <w:rsid w:val="00B868D2"/>
    <w:rsid w:val="00BB0007"/>
    <w:rsid w:val="00BD1F8B"/>
    <w:rsid w:val="00C07FB1"/>
    <w:rsid w:val="00C17D48"/>
    <w:rsid w:val="00C5355C"/>
    <w:rsid w:val="00C65359"/>
    <w:rsid w:val="00C92A32"/>
    <w:rsid w:val="00CC39F7"/>
    <w:rsid w:val="00CE51F0"/>
    <w:rsid w:val="00CE5DE0"/>
    <w:rsid w:val="00D30429"/>
    <w:rsid w:val="00D5367C"/>
    <w:rsid w:val="00DF688E"/>
    <w:rsid w:val="00E136E1"/>
    <w:rsid w:val="00E23FEA"/>
    <w:rsid w:val="00E35031"/>
    <w:rsid w:val="00E55056"/>
    <w:rsid w:val="00E63064"/>
    <w:rsid w:val="00E6529F"/>
    <w:rsid w:val="00E94C21"/>
    <w:rsid w:val="00EB43D0"/>
    <w:rsid w:val="00EC1F27"/>
    <w:rsid w:val="00F05129"/>
    <w:rsid w:val="00F057CB"/>
    <w:rsid w:val="00F35356"/>
    <w:rsid w:val="00F37C33"/>
    <w:rsid w:val="00F61F23"/>
    <w:rsid w:val="00F71180"/>
    <w:rsid w:val="00F73AFB"/>
    <w:rsid w:val="00FC2FF5"/>
    <w:rsid w:val="00FF75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73D36E"/>
  <w15:chartTrackingRefBased/>
  <w15:docId w15:val="{DC1C1F9A-D494-41C2-960F-AF9A4DF63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GB"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688E"/>
  </w:style>
  <w:style w:type="paragraph" w:styleId="Heading1">
    <w:name w:val="heading 1"/>
    <w:basedOn w:val="Normal"/>
    <w:next w:val="Normal"/>
    <w:link w:val="Heading1Char"/>
    <w:uiPriority w:val="9"/>
    <w:qFormat/>
    <w:rsid w:val="00CE51F0"/>
    <w:pPr>
      <w:keepNext/>
      <w:keepLines/>
      <w:pBdr>
        <w:bottom w:val="single" w:sz="4" w:space="1" w:color="4A66AC" w:themeColor="accent1"/>
      </w:pBdr>
      <w:spacing w:before="120" w:after="40" w:line="240" w:lineRule="auto"/>
      <w:outlineLvl w:val="0"/>
    </w:pPr>
    <w:rPr>
      <w:rFonts w:asciiTheme="majorHAnsi" w:eastAsiaTheme="majorEastAsia" w:hAnsiTheme="majorHAnsi" w:cstheme="majorBidi"/>
      <w:color w:val="374C80" w:themeColor="accent1" w:themeShade="BF"/>
      <w:sz w:val="36"/>
      <w:szCs w:val="36"/>
    </w:rPr>
  </w:style>
  <w:style w:type="paragraph" w:styleId="Heading2">
    <w:name w:val="heading 2"/>
    <w:basedOn w:val="Normal"/>
    <w:next w:val="Normal"/>
    <w:link w:val="Heading2Char"/>
    <w:uiPriority w:val="9"/>
    <w:unhideWhenUsed/>
    <w:qFormat/>
    <w:rsid w:val="00DF688E"/>
    <w:pPr>
      <w:keepNext/>
      <w:keepLines/>
      <w:spacing w:before="160" w:after="0" w:line="240" w:lineRule="auto"/>
      <w:outlineLvl w:val="1"/>
    </w:pPr>
    <w:rPr>
      <w:rFonts w:asciiTheme="majorHAnsi" w:eastAsiaTheme="majorEastAsia" w:hAnsiTheme="majorHAnsi" w:cstheme="majorBidi"/>
      <w:color w:val="374C80" w:themeColor="accent1" w:themeShade="BF"/>
      <w:sz w:val="28"/>
      <w:szCs w:val="28"/>
    </w:rPr>
  </w:style>
  <w:style w:type="paragraph" w:styleId="Heading3">
    <w:name w:val="heading 3"/>
    <w:basedOn w:val="Normal"/>
    <w:next w:val="Normal"/>
    <w:link w:val="Heading3Char"/>
    <w:uiPriority w:val="9"/>
    <w:unhideWhenUsed/>
    <w:qFormat/>
    <w:rsid w:val="00DF688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DF688E"/>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DF688E"/>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DF688E"/>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DF688E"/>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DF688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DF688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6B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6B0C"/>
  </w:style>
  <w:style w:type="paragraph" w:styleId="Footer">
    <w:name w:val="footer"/>
    <w:basedOn w:val="Normal"/>
    <w:link w:val="FooterChar"/>
    <w:uiPriority w:val="99"/>
    <w:unhideWhenUsed/>
    <w:rsid w:val="00546B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6B0C"/>
  </w:style>
  <w:style w:type="character" w:customStyle="1" w:styleId="Heading1Char">
    <w:name w:val="Heading 1 Char"/>
    <w:basedOn w:val="DefaultParagraphFont"/>
    <w:link w:val="Heading1"/>
    <w:uiPriority w:val="9"/>
    <w:rsid w:val="00CE51F0"/>
    <w:rPr>
      <w:rFonts w:asciiTheme="majorHAnsi" w:eastAsiaTheme="majorEastAsia" w:hAnsiTheme="majorHAnsi" w:cstheme="majorBidi"/>
      <w:color w:val="374C80" w:themeColor="accent1" w:themeShade="BF"/>
      <w:sz w:val="36"/>
      <w:szCs w:val="36"/>
    </w:rPr>
  </w:style>
  <w:style w:type="character" w:customStyle="1" w:styleId="Heading2Char">
    <w:name w:val="Heading 2 Char"/>
    <w:basedOn w:val="DefaultParagraphFont"/>
    <w:link w:val="Heading2"/>
    <w:uiPriority w:val="9"/>
    <w:rsid w:val="00DF688E"/>
    <w:rPr>
      <w:rFonts w:asciiTheme="majorHAnsi" w:eastAsiaTheme="majorEastAsia" w:hAnsiTheme="majorHAnsi" w:cstheme="majorBidi"/>
      <w:color w:val="374C80" w:themeColor="accent1" w:themeShade="BF"/>
      <w:sz w:val="28"/>
      <w:szCs w:val="28"/>
    </w:rPr>
  </w:style>
  <w:style w:type="character" w:customStyle="1" w:styleId="Heading3Char">
    <w:name w:val="Heading 3 Char"/>
    <w:basedOn w:val="DefaultParagraphFont"/>
    <w:link w:val="Heading3"/>
    <w:uiPriority w:val="9"/>
    <w:rsid w:val="00DF688E"/>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DF688E"/>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DF688E"/>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DF688E"/>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DF688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DF688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DF688E"/>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DF688E"/>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DF688E"/>
    <w:pPr>
      <w:spacing w:after="0" w:line="240" w:lineRule="auto"/>
      <w:contextualSpacing/>
    </w:pPr>
    <w:rPr>
      <w:rFonts w:asciiTheme="majorHAnsi" w:eastAsiaTheme="majorEastAsia" w:hAnsiTheme="majorHAnsi" w:cstheme="majorBidi"/>
      <w:color w:val="374C80" w:themeColor="accent1" w:themeShade="BF"/>
      <w:spacing w:val="-7"/>
      <w:sz w:val="80"/>
      <w:szCs w:val="80"/>
    </w:rPr>
  </w:style>
  <w:style w:type="character" w:customStyle="1" w:styleId="TitleChar">
    <w:name w:val="Title Char"/>
    <w:basedOn w:val="DefaultParagraphFont"/>
    <w:link w:val="Title"/>
    <w:uiPriority w:val="10"/>
    <w:rsid w:val="00DF688E"/>
    <w:rPr>
      <w:rFonts w:asciiTheme="majorHAnsi" w:eastAsiaTheme="majorEastAsia" w:hAnsiTheme="majorHAnsi" w:cstheme="majorBidi"/>
      <w:color w:val="374C80" w:themeColor="accent1" w:themeShade="BF"/>
      <w:spacing w:val="-7"/>
      <w:sz w:val="80"/>
      <w:szCs w:val="80"/>
    </w:rPr>
  </w:style>
  <w:style w:type="paragraph" w:styleId="Subtitle">
    <w:name w:val="Subtitle"/>
    <w:basedOn w:val="Normal"/>
    <w:next w:val="Normal"/>
    <w:link w:val="SubtitleChar"/>
    <w:uiPriority w:val="11"/>
    <w:qFormat/>
    <w:rsid w:val="00DF688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DF688E"/>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DF688E"/>
    <w:rPr>
      <w:b/>
      <w:bCs/>
    </w:rPr>
  </w:style>
  <w:style w:type="character" w:styleId="Emphasis">
    <w:name w:val="Emphasis"/>
    <w:basedOn w:val="DefaultParagraphFont"/>
    <w:uiPriority w:val="20"/>
    <w:qFormat/>
    <w:rsid w:val="00DF688E"/>
    <w:rPr>
      <w:i/>
      <w:iCs/>
    </w:rPr>
  </w:style>
  <w:style w:type="paragraph" w:styleId="NoSpacing">
    <w:name w:val="No Spacing"/>
    <w:uiPriority w:val="1"/>
    <w:qFormat/>
    <w:rsid w:val="00DF688E"/>
    <w:pPr>
      <w:spacing w:after="0" w:line="240" w:lineRule="auto"/>
    </w:pPr>
  </w:style>
  <w:style w:type="paragraph" w:styleId="Quote">
    <w:name w:val="Quote"/>
    <w:basedOn w:val="Normal"/>
    <w:next w:val="Normal"/>
    <w:link w:val="QuoteChar"/>
    <w:uiPriority w:val="29"/>
    <w:qFormat/>
    <w:rsid w:val="00DF688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DF688E"/>
    <w:rPr>
      <w:i/>
      <w:iCs/>
    </w:rPr>
  </w:style>
  <w:style w:type="paragraph" w:styleId="IntenseQuote">
    <w:name w:val="Intense Quote"/>
    <w:basedOn w:val="Normal"/>
    <w:next w:val="Normal"/>
    <w:link w:val="IntenseQuoteChar"/>
    <w:uiPriority w:val="30"/>
    <w:qFormat/>
    <w:rsid w:val="00DF688E"/>
    <w:pPr>
      <w:spacing w:before="100" w:beforeAutospacing="1" w:after="240"/>
      <w:ind w:left="864" w:right="864"/>
      <w:jc w:val="center"/>
    </w:pPr>
    <w:rPr>
      <w:rFonts w:asciiTheme="majorHAnsi" w:eastAsiaTheme="majorEastAsia" w:hAnsiTheme="majorHAnsi" w:cstheme="majorBidi"/>
      <w:color w:val="4A66AC" w:themeColor="accent1"/>
      <w:sz w:val="28"/>
      <w:szCs w:val="28"/>
    </w:rPr>
  </w:style>
  <w:style w:type="character" w:customStyle="1" w:styleId="IntenseQuoteChar">
    <w:name w:val="Intense Quote Char"/>
    <w:basedOn w:val="DefaultParagraphFont"/>
    <w:link w:val="IntenseQuote"/>
    <w:uiPriority w:val="30"/>
    <w:rsid w:val="00DF688E"/>
    <w:rPr>
      <w:rFonts w:asciiTheme="majorHAnsi" w:eastAsiaTheme="majorEastAsia" w:hAnsiTheme="majorHAnsi" w:cstheme="majorBidi"/>
      <w:color w:val="4A66AC" w:themeColor="accent1"/>
      <w:sz w:val="28"/>
      <w:szCs w:val="28"/>
    </w:rPr>
  </w:style>
  <w:style w:type="character" w:styleId="SubtleEmphasis">
    <w:name w:val="Subtle Emphasis"/>
    <w:basedOn w:val="DefaultParagraphFont"/>
    <w:uiPriority w:val="19"/>
    <w:qFormat/>
    <w:rsid w:val="00DF688E"/>
    <w:rPr>
      <w:i/>
      <w:iCs/>
      <w:color w:val="595959" w:themeColor="text1" w:themeTint="A6"/>
    </w:rPr>
  </w:style>
  <w:style w:type="character" w:styleId="IntenseEmphasis">
    <w:name w:val="Intense Emphasis"/>
    <w:basedOn w:val="DefaultParagraphFont"/>
    <w:uiPriority w:val="21"/>
    <w:qFormat/>
    <w:rsid w:val="00DF688E"/>
    <w:rPr>
      <w:b/>
      <w:bCs/>
      <w:i/>
      <w:iCs/>
    </w:rPr>
  </w:style>
  <w:style w:type="character" w:styleId="SubtleReference">
    <w:name w:val="Subtle Reference"/>
    <w:basedOn w:val="DefaultParagraphFont"/>
    <w:uiPriority w:val="31"/>
    <w:qFormat/>
    <w:rsid w:val="00DF688E"/>
    <w:rPr>
      <w:smallCaps/>
      <w:color w:val="404040" w:themeColor="text1" w:themeTint="BF"/>
    </w:rPr>
  </w:style>
  <w:style w:type="character" w:styleId="IntenseReference">
    <w:name w:val="Intense Reference"/>
    <w:basedOn w:val="DefaultParagraphFont"/>
    <w:uiPriority w:val="32"/>
    <w:qFormat/>
    <w:rsid w:val="00DF688E"/>
    <w:rPr>
      <w:b/>
      <w:bCs/>
      <w:smallCaps/>
      <w:u w:val="single"/>
    </w:rPr>
  </w:style>
  <w:style w:type="character" w:styleId="BookTitle">
    <w:name w:val="Book Title"/>
    <w:basedOn w:val="DefaultParagraphFont"/>
    <w:uiPriority w:val="33"/>
    <w:qFormat/>
    <w:rsid w:val="00DF688E"/>
    <w:rPr>
      <w:b/>
      <w:bCs/>
      <w:smallCaps/>
    </w:rPr>
  </w:style>
  <w:style w:type="paragraph" w:styleId="TOCHeading">
    <w:name w:val="TOC Heading"/>
    <w:basedOn w:val="Heading1"/>
    <w:next w:val="Normal"/>
    <w:uiPriority w:val="39"/>
    <w:semiHidden/>
    <w:unhideWhenUsed/>
    <w:qFormat/>
    <w:rsid w:val="00DF688E"/>
    <w:pPr>
      <w:outlineLvl w:val="9"/>
    </w:pPr>
  </w:style>
  <w:style w:type="paragraph" w:styleId="ListParagraph">
    <w:name w:val="List Paragraph"/>
    <w:basedOn w:val="Normal"/>
    <w:uiPriority w:val="34"/>
    <w:qFormat/>
    <w:rsid w:val="007955D9"/>
    <w:pPr>
      <w:numPr>
        <w:numId w:val="1"/>
      </w:numPr>
      <w:spacing w:after="0"/>
      <w:contextualSpacing/>
    </w:pPr>
  </w:style>
  <w:style w:type="numbering" w:customStyle="1" w:styleId="Custom1">
    <w:name w:val="Custom 1"/>
    <w:uiPriority w:val="99"/>
    <w:rsid w:val="007955D9"/>
    <w:pPr>
      <w:numPr>
        <w:numId w:val="2"/>
      </w:numPr>
    </w:pPr>
  </w:style>
  <w:style w:type="numbering" w:customStyle="1" w:styleId="CustomList">
    <w:name w:val="Custom List"/>
    <w:uiPriority w:val="99"/>
    <w:rsid w:val="007955D9"/>
    <w:pPr>
      <w:numPr>
        <w:numId w:val="3"/>
      </w:numPr>
    </w:pPr>
  </w:style>
  <w:style w:type="character" w:styleId="Hyperlink">
    <w:name w:val="Hyperlink"/>
    <w:uiPriority w:val="99"/>
    <w:qFormat/>
    <w:rsid w:val="006169BC"/>
    <w:rPr>
      <w:rFonts w:ascii="Arial" w:hAnsi="Arial"/>
      <w:color w:val="0000FF"/>
      <w:sz w:val="24"/>
      <w:u w:val="single"/>
    </w:rPr>
  </w:style>
  <w:style w:type="paragraph" w:customStyle="1" w:styleId="TableHeader">
    <w:name w:val="TableHeader"/>
    <w:rsid w:val="006169BC"/>
    <w:pPr>
      <w:suppressAutoHyphens/>
      <w:autoSpaceDN w:val="0"/>
      <w:spacing w:before="60" w:after="60" w:line="240" w:lineRule="auto"/>
      <w:ind w:left="57" w:right="57"/>
      <w:jc w:val="center"/>
    </w:pPr>
    <w:rPr>
      <w:rFonts w:ascii="Arial" w:eastAsia="Times New Roman" w:hAnsi="Arial" w:cs="Times New Roman"/>
      <w:b/>
      <w:color w:val="0D0D0D"/>
      <w:sz w:val="24"/>
      <w:szCs w:val="24"/>
      <w:lang w:eastAsia="en-GB"/>
    </w:rPr>
  </w:style>
  <w:style w:type="paragraph" w:customStyle="1" w:styleId="TableRow">
    <w:name w:val="TableRow"/>
    <w:rsid w:val="006169BC"/>
    <w:pPr>
      <w:suppressAutoHyphens/>
      <w:autoSpaceDN w:val="0"/>
      <w:spacing w:before="60" w:after="60" w:line="240" w:lineRule="auto"/>
      <w:ind w:left="57" w:right="57"/>
    </w:pPr>
    <w:rPr>
      <w:rFonts w:ascii="Arial" w:eastAsia="Times New Roman" w:hAnsi="Arial" w:cs="Times New Roman"/>
      <w:color w:val="0D0D0D"/>
      <w:sz w:val="24"/>
      <w:szCs w:val="24"/>
      <w:lang w:eastAsia="en-GB"/>
    </w:rPr>
  </w:style>
  <w:style w:type="character" w:styleId="CommentReference">
    <w:name w:val="annotation reference"/>
    <w:basedOn w:val="DefaultParagraphFont"/>
    <w:rsid w:val="006169BC"/>
  </w:style>
  <w:style w:type="paragraph" w:customStyle="1" w:styleId="TableRowCentered">
    <w:name w:val="TableRowCentered"/>
    <w:basedOn w:val="TableRow"/>
    <w:rsid w:val="006169BC"/>
    <w:pPr>
      <w:jc w:val="center"/>
    </w:pPr>
    <w:rPr>
      <w:szCs w:val="20"/>
    </w:rPr>
  </w:style>
  <w:style w:type="numbering" w:customStyle="1" w:styleId="WWOutlineListStyle">
    <w:name w:val="WW_OutlineListStyle"/>
    <w:basedOn w:val="NoList"/>
    <w:rsid w:val="006169BC"/>
    <w:pPr>
      <w:numPr>
        <w:numId w:val="4"/>
      </w:numPr>
    </w:pPr>
  </w:style>
  <w:style w:type="numbering" w:customStyle="1" w:styleId="LFO25">
    <w:name w:val="LFO25"/>
    <w:basedOn w:val="NoList"/>
    <w:rsid w:val="006169BC"/>
    <w:pPr>
      <w:numPr>
        <w:numId w:val="5"/>
      </w:numPr>
    </w:pPr>
  </w:style>
  <w:style w:type="character" w:styleId="UnresolvedMention">
    <w:name w:val="Unresolved Mention"/>
    <w:basedOn w:val="DefaultParagraphFont"/>
    <w:uiPriority w:val="99"/>
    <w:semiHidden/>
    <w:unhideWhenUsed/>
    <w:rsid w:val="00921A85"/>
    <w:rPr>
      <w:color w:val="605E5C"/>
      <w:shd w:val="clear" w:color="auto" w:fill="E1DFDD"/>
    </w:rPr>
  </w:style>
  <w:style w:type="table" w:styleId="GridTable4-Accent1">
    <w:name w:val="Grid Table 4 Accent 1"/>
    <w:basedOn w:val="TableNormal"/>
    <w:uiPriority w:val="49"/>
    <w:rsid w:val="00921610"/>
    <w:pPr>
      <w:spacing w:after="0" w:line="240" w:lineRule="auto"/>
    </w:pPr>
    <w:tblPr>
      <w:tblStyleRowBandSize w:val="1"/>
      <w:tblStyleColBandSize w:val="1"/>
      <w:tblBorders>
        <w:top w:val="single" w:sz="4" w:space="0" w:color="90A1CF" w:themeColor="accent1" w:themeTint="99"/>
        <w:left w:val="single" w:sz="4" w:space="0" w:color="90A1CF" w:themeColor="accent1" w:themeTint="99"/>
        <w:bottom w:val="single" w:sz="4" w:space="0" w:color="90A1CF" w:themeColor="accent1" w:themeTint="99"/>
        <w:right w:val="single" w:sz="4" w:space="0" w:color="90A1CF" w:themeColor="accent1" w:themeTint="99"/>
        <w:insideH w:val="single" w:sz="4" w:space="0" w:color="90A1CF" w:themeColor="accent1" w:themeTint="99"/>
        <w:insideV w:val="single" w:sz="4" w:space="0" w:color="90A1CF" w:themeColor="accent1" w:themeTint="99"/>
      </w:tblBorders>
    </w:tblPr>
    <w:tblStylePr w:type="firstRow">
      <w:rPr>
        <w:b/>
        <w:bCs/>
        <w:color w:val="FFFFFF" w:themeColor="background1"/>
      </w:rPr>
      <w:tblPr/>
      <w:tcPr>
        <w:tcBorders>
          <w:top w:val="single" w:sz="4" w:space="0" w:color="4A66AC" w:themeColor="accent1"/>
          <w:left w:val="single" w:sz="4" w:space="0" w:color="4A66AC" w:themeColor="accent1"/>
          <w:bottom w:val="single" w:sz="4" w:space="0" w:color="4A66AC" w:themeColor="accent1"/>
          <w:right w:val="single" w:sz="4" w:space="0" w:color="4A66AC" w:themeColor="accent1"/>
          <w:insideH w:val="nil"/>
          <w:insideV w:val="nil"/>
        </w:tcBorders>
        <w:shd w:val="clear" w:color="auto" w:fill="4A66AC" w:themeFill="accent1"/>
      </w:tcPr>
    </w:tblStylePr>
    <w:tblStylePr w:type="lastRow">
      <w:rPr>
        <w:b/>
        <w:bCs/>
      </w:rPr>
      <w:tblPr/>
      <w:tcPr>
        <w:tcBorders>
          <w:top w:val="double" w:sz="4" w:space="0" w:color="4A66AC" w:themeColor="accent1"/>
        </w:tcBorders>
      </w:tcPr>
    </w:tblStylePr>
    <w:tblStylePr w:type="firstCol">
      <w:rPr>
        <w:b/>
        <w:bCs/>
      </w:rPr>
    </w:tblStylePr>
    <w:tblStylePr w:type="lastCol">
      <w:rPr>
        <w:b/>
        <w:bCs/>
      </w:rPr>
    </w:tblStylePr>
    <w:tblStylePr w:type="band1Vert">
      <w:tblPr/>
      <w:tcPr>
        <w:shd w:val="clear" w:color="auto" w:fill="D9DFEF" w:themeFill="accent1" w:themeFillTint="33"/>
      </w:tcPr>
    </w:tblStylePr>
    <w:tblStylePr w:type="band1Horz">
      <w:tblPr/>
      <w:tcPr>
        <w:shd w:val="clear" w:color="auto" w:fill="D9DFEF" w:themeFill="accent1" w:themeFillTint="33"/>
      </w:tcPr>
    </w:tblStylePr>
  </w:style>
  <w:style w:type="table" w:styleId="GridTable4-Accent4">
    <w:name w:val="Grid Table 4 Accent 4"/>
    <w:basedOn w:val="TableNormal"/>
    <w:uiPriority w:val="49"/>
    <w:rsid w:val="00030A13"/>
    <w:pPr>
      <w:spacing w:after="0" w:line="240" w:lineRule="auto"/>
    </w:pPr>
    <w:tblPr>
      <w:tblStyleRowBandSize w:val="1"/>
      <w:tblStyleColBandSize w:val="1"/>
      <w:tblBorders>
        <w:top w:val="single" w:sz="4" w:space="0" w:color="B2BBCB" w:themeColor="accent4" w:themeTint="99"/>
        <w:left w:val="single" w:sz="4" w:space="0" w:color="B2BBCB" w:themeColor="accent4" w:themeTint="99"/>
        <w:bottom w:val="single" w:sz="4" w:space="0" w:color="B2BBCB" w:themeColor="accent4" w:themeTint="99"/>
        <w:right w:val="single" w:sz="4" w:space="0" w:color="B2BBCB" w:themeColor="accent4" w:themeTint="99"/>
        <w:insideH w:val="single" w:sz="4" w:space="0" w:color="B2BBCB" w:themeColor="accent4" w:themeTint="99"/>
        <w:insideV w:val="single" w:sz="4" w:space="0" w:color="B2BBCB" w:themeColor="accent4" w:themeTint="99"/>
      </w:tblBorders>
    </w:tblPr>
    <w:tblStylePr w:type="firstRow">
      <w:rPr>
        <w:b/>
        <w:bCs/>
        <w:color w:val="FFFFFF" w:themeColor="background1"/>
      </w:rPr>
      <w:tblPr/>
      <w:tcPr>
        <w:tcBorders>
          <w:top w:val="single" w:sz="4" w:space="0" w:color="7F8FA9" w:themeColor="accent4"/>
          <w:left w:val="single" w:sz="4" w:space="0" w:color="7F8FA9" w:themeColor="accent4"/>
          <w:bottom w:val="single" w:sz="4" w:space="0" w:color="7F8FA9" w:themeColor="accent4"/>
          <w:right w:val="single" w:sz="4" w:space="0" w:color="7F8FA9" w:themeColor="accent4"/>
          <w:insideH w:val="nil"/>
          <w:insideV w:val="nil"/>
        </w:tcBorders>
        <w:shd w:val="clear" w:color="auto" w:fill="7F8FA9" w:themeFill="accent4"/>
      </w:tcPr>
    </w:tblStylePr>
    <w:tblStylePr w:type="lastRow">
      <w:rPr>
        <w:b/>
        <w:bCs/>
      </w:rPr>
      <w:tblPr/>
      <w:tcPr>
        <w:tcBorders>
          <w:top w:val="double" w:sz="4" w:space="0" w:color="7F8FA9" w:themeColor="accent4"/>
        </w:tcBorders>
      </w:tcPr>
    </w:tblStylePr>
    <w:tblStylePr w:type="firstCol">
      <w:rPr>
        <w:b/>
        <w:bCs/>
      </w:rPr>
    </w:tblStylePr>
    <w:tblStylePr w:type="lastCol">
      <w:rPr>
        <w:b/>
        <w:bCs/>
      </w:rPr>
    </w:tblStylePr>
    <w:tblStylePr w:type="band1Vert">
      <w:tblPr/>
      <w:tcPr>
        <w:shd w:val="clear" w:color="auto" w:fill="E5E8ED" w:themeFill="accent4" w:themeFillTint="33"/>
      </w:tcPr>
    </w:tblStylePr>
    <w:tblStylePr w:type="band1Horz">
      <w:tblPr/>
      <w:tcPr>
        <w:shd w:val="clear" w:color="auto" w:fill="E5E8ED"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ducationendowmentfoundation.org.uk/evidence-summaries/teaching-learning-toolkit/phonics/"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choosing-a-phonics-teaching-programme" TargetMode="External"/><Relationship Id="rId17" Type="http://schemas.openxmlformats.org/officeDocument/2006/relationships/hyperlink" Target="http://leeming-raf.n-yorks.sch.uk/data/documents/Service-Pupil-Premium-Strategy-Statement-2022-25.pdf" TargetMode="External"/><Relationship Id="rId2" Type="http://schemas.openxmlformats.org/officeDocument/2006/relationships/customXml" Target="../customXml/item2.xml"/><Relationship Id="rId16" Type="http://schemas.openxmlformats.org/officeDocument/2006/relationships/hyperlink" Target="https://educationendowmentfoundation.org.uk/evidence-summaries/teaching-learning-toolkit/small-group-tuitio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ucationendowmentfoundation.org.uk/tools/assessing-and-monitoring-pupil-progress/testing/standardised-tests/" TargetMode="External"/><Relationship Id="rId5" Type="http://schemas.openxmlformats.org/officeDocument/2006/relationships/numbering" Target="numbering.xml"/><Relationship Id="rId15" Type="http://schemas.openxmlformats.org/officeDocument/2006/relationships/hyperlink" Target="https://educationendowmentfoundation.org.uk/education-evidence/teaching-learning-toolkit/one-to-one-tuition"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ducationendowmentfoundation.org.uk/evidence-summaries/teaching-learning-toolkit/small-group-tui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C\Documents\Custom%20Office%20Templates\Banded%20and%20Logo.dotx" TargetMode="External"/></Relationships>
</file>

<file path=word/theme/theme1.xml><?xml version="1.0" encoding="utf-8"?>
<a:theme xmlns:a="http://schemas.openxmlformats.org/drawingml/2006/main" name="Prospectus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Slice">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Slice">
      <a:fillStyleLst>
        <a:solidFill>
          <a:schemeClr val="phClr"/>
        </a:solidFill>
        <a:gradFill rotWithShape="1">
          <a:gsLst>
            <a:gs pos="0">
              <a:schemeClr val="phClr">
                <a:tint val="62000"/>
                <a:hueMod val="94000"/>
                <a:satMod val="140000"/>
                <a:lumMod val="110000"/>
              </a:schemeClr>
            </a:gs>
            <a:gs pos="100000">
              <a:schemeClr val="phClr">
                <a:tint val="84000"/>
                <a:satMod val="160000"/>
              </a:schemeClr>
            </a:gs>
          </a:gsLst>
          <a:lin ang="5400000" scaled="0"/>
        </a:gradFill>
        <a:gradFill rotWithShape="1">
          <a:gsLst>
            <a:gs pos="0">
              <a:schemeClr val="phClr">
                <a:tint val="98000"/>
                <a:hueMod val="94000"/>
                <a:satMod val="130000"/>
                <a:lumMod val="128000"/>
              </a:schemeClr>
            </a:gs>
            <a:gs pos="100000">
              <a:schemeClr val="phClr">
                <a:shade val="94000"/>
                <a:lumMod val="88000"/>
              </a:schemeClr>
            </a:gs>
          </a:gsLst>
          <a:lin ang="5400000" scaled="0"/>
        </a:gradFill>
      </a:fillStyleLst>
      <a:lnStyleLst>
        <a:ln w="9525" cap="rnd" cmpd="sng" algn="ctr">
          <a:solidFill>
            <a:schemeClr val="phClr">
              <a:tint val="76000"/>
              <a:alpha val="60000"/>
              <a:hueMod val="94000"/>
            </a:schemeClr>
          </a:solidFill>
          <a:prstDash val="solid"/>
        </a:ln>
        <a:ln w="15875" cap="rnd" cmpd="sng" algn="ctr">
          <a:solidFill>
            <a:schemeClr val="phClr">
              <a:hueMod val="94000"/>
            </a:schemeClr>
          </a:solidFill>
          <a:prstDash val="solid"/>
        </a:ln>
        <a:ln w="28575" cap="rnd"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a:effectStyle>
      </a:effectStyleLst>
      <a:bgFillStyleLst>
        <a:solidFill>
          <a:schemeClr val="phClr"/>
        </a:solidFill>
        <a:gradFill rotWithShape="1">
          <a:gsLst>
            <a:gs pos="10000">
              <a:schemeClr val="phClr">
                <a:tint val="97000"/>
                <a:hueMod val="92000"/>
                <a:satMod val="169000"/>
                <a:lumMod val="164000"/>
              </a:schemeClr>
            </a:gs>
            <a:gs pos="100000">
              <a:schemeClr val="phClr">
                <a:shade val="96000"/>
                <a:satMod val="120000"/>
                <a:lumMod val="90000"/>
              </a:schemeClr>
            </a:gs>
          </a:gsLst>
          <a:lin ang="6120000" scaled="1"/>
        </a:gradFill>
        <a:gradFill rotWithShape="1">
          <a:gsLst>
            <a:gs pos="0">
              <a:schemeClr val="phClr">
                <a:tint val="97000"/>
                <a:hueMod val="92000"/>
                <a:satMod val="169000"/>
                <a:lumMod val="164000"/>
              </a:schemeClr>
            </a:gs>
            <a:gs pos="100000">
              <a:schemeClr val="phClr">
                <a:shade val="96000"/>
                <a:satMod val="120000"/>
                <a:lumMod val="90000"/>
              </a:schemeClr>
            </a:gs>
          </a:gsLst>
          <a:path path="circle">
            <a:fillToRect b="100000"/>
          </a:path>
        </a:gradFill>
      </a:bgFillStyleLst>
    </a:fmtScheme>
  </a:themeElements>
  <a:objectDefaults/>
  <a:extraClrSchemeLst/>
  <a:extLst>
    <a:ext uri="{05A4C25C-085E-4340-85A3-A5531E510DB2}">
      <thm15:themeFamily xmlns:thm15="http://schemas.microsoft.com/office/thememl/2012/main" name="Slice" id="{0507925B-6AC9-4358-8E18-C330545D08F8}" vid="{13FEC7C6-62A9-40C4-99D2-581AACACAA2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e8f95dc-a676-49de-b60a-88ad20fc0e15">
      <Terms xmlns="http://schemas.microsoft.com/office/infopath/2007/PartnerControls"/>
    </lcf76f155ced4ddcb4097134ff3c332f>
    <TaxCatchAll xmlns="3e7d49f1-a3da-4883-8078-19ac15a1da1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AA7DE8EAFA19146B11900FBD163F074" ma:contentTypeVersion="15" ma:contentTypeDescription="Create a new document." ma:contentTypeScope="" ma:versionID="30cda914a72f83fb6126adc81c1b0970">
  <xsd:schema xmlns:xsd="http://www.w3.org/2001/XMLSchema" xmlns:xs="http://www.w3.org/2001/XMLSchema" xmlns:p="http://schemas.microsoft.com/office/2006/metadata/properties" xmlns:ns2="2e8f95dc-a676-49de-b60a-88ad20fc0e15" xmlns:ns3="3e7d49f1-a3da-4883-8078-19ac15a1da1e" targetNamespace="http://schemas.microsoft.com/office/2006/metadata/properties" ma:root="true" ma:fieldsID="1042c42d2914d7836ab18521859bd4e2" ns2:_="" ns3:_="">
    <xsd:import namespace="2e8f95dc-a676-49de-b60a-88ad20fc0e15"/>
    <xsd:import namespace="3e7d49f1-a3da-4883-8078-19ac15a1da1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8f95dc-a676-49de-b60a-88ad20fc0e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921a8d2-76d8-41e0-a4c4-f1e1ed8b87e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7d49f1-a3da-4883-8078-19ac15a1da1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cea3731-e60b-4c8c-96ca-27aa163132a9}" ma:internalName="TaxCatchAll" ma:showField="CatchAllData" ma:web="3e7d49f1-a3da-4883-8078-19ac15a1da1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5B2BB3-D77E-4173-9499-D9ACBDC88849}">
  <ds:schemaRefs>
    <ds:schemaRef ds:uri="http://schemas.microsoft.com/office/2006/metadata/properties"/>
    <ds:schemaRef ds:uri="http://schemas.microsoft.com/office/infopath/2007/PartnerControls"/>
    <ds:schemaRef ds:uri="4e53ef4a-0450-47ca-97b5-2a6cd62a2472"/>
  </ds:schemaRefs>
</ds:datastoreItem>
</file>

<file path=customXml/itemProps2.xml><?xml version="1.0" encoding="utf-8"?>
<ds:datastoreItem xmlns:ds="http://schemas.openxmlformats.org/officeDocument/2006/customXml" ds:itemID="{6047DF01-DF5D-4055-BAE5-0B9186E94162}"/>
</file>

<file path=customXml/itemProps3.xml><?xml version="1.0" encoding="utf-8"?>
<ds:datastoreItem xmlns:ds="http://schemas.openxmlformats.org/officeDocument/2006/customXml" ds:itemID="{72FC071C-2169-43E1-8C59-B1B088EF263A}">
  <ds:schemaRefs>
    <ds:schemaRef ds:uri="http://schemas.openxmlformats.org/officeDocument/2006/bibliography"/>
  </ds:schemaRefs>
</ds:datastoreItem>
</file>

<file path=customXml/itemProps4.xml><?xml version="1.0" encoding="utf-8"?>
<ds:datastoreItem xmlns:ds="http://schemas.openxmlformats.org/officeDocument/2006/customXml" ds:itemID="{8D5C7879-CB1E-49A2-9FE0-ABB5448C32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Banded and Logo</Template>
  <TotalTime>11</TotalTime>
  <Pages>9</Pages>
  <Words>2959</Words>
  <Characters>16872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Campbell</dc:creator>
  <cp:keywords/>
  <dc:description/>
  <cp:lastModifiedBy>Headteacher</cp:lastModifiedBy>
  <cp:revision>14</cp:revision>
  <dcterms:created xsi:type="dcterms:W3CDTF">2024-11-29T16:45:00Z</dcterms:created>
  <dcterms:modified xsi:type="dcterms:W3CDTF">2024-11-29T17:00:00Z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0x0101007AA7DE8EAFA19146B11900FBD163F074</vt:lpwstr>
  </property>
</Properties>
</file>